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45DF" w14:textId="77777777" w:rsidR="00506F16" w:rsidRDefault="00506F16" w:rsidP="00506F16">
      <w:pPr>
        <w:pStyle w:val="Body"/>
      </w:pPr>
    </w:p>
    <w:p w14:paraId="3A9845F7" w14:textId="77777777" w:rsidR="00506F16" w:rsidRDefault="00506F16" w:rsidP="00506F16">
      <w:pPr>
        <w:pStyle w:val="Body"/>
      </w:pPr>
    </w:p>
    <w:p w14:paraId="7EC0F948" w14:textId="77777777" w:rsidR="00506F16" w:rsidRDefault="00506F16" w:rsidP="00506F16">
      <w:pPr>
        <w:pStyle w:val="Body"/>
      </w:pPr>
    </w:p>
    <w:p w14:paraId="4C283638" w14:textId="77777777" w:rsidR="00506F16" w:rsidRDefault="00506F16" w:rsidP="00506F16">
      <w:pPr>
        <w:pStyle w:val="Body"/>
      </w:pPr>
    </w:p>
    <w:p w14:paraId="3DB4CDF2" w14:textId="77777777" w:rsidR="00506F16" w:rsidRDefault="00506F16" w:rsidP="00506F16">
      <w:pPr>
        <w:pStyle w:val="Body"/>
      </w:pPr>
    </w:p>
    <w:p w14:paraId="5C4DA151" w14:textId="77777777" w:rsidR="00506F16" w:rsidRDefault="00506F16" w:rsidP="00506F16">
      <w:pPr>
        <w:pStyle w:val="Body"/>
      </w:pPr>
    </w:p>
    <w:p w14:paraId="2932898D" w14:textId="77777777" w:rsidR="00506F16" w:rsidRDefault="00506F16" w:rsidP="00506F16">
      <w:pPr>
        <w:pStyle w:val="Body"/>
      </w:pPr>
    </w:p>
    <w:p w14:paraId="12D3B9FF" w14:textId="77777777" w:rsidR="00506F16" w:rsidRDefault="00506F16" w:rsidP="00506F16">
      <w:pPr>
        <w:pStyle w:val="Body"/>
      </w:pPr>
    </w:p>
    <w:p w14:paraId="5F9321F5" w14:textId="77777777" w:rsidR="00506F16" w:rsidRDefault="00506F16" w:rsidP="00506F16">
      <w:pPr>
        <w:pStyle w:val="Body"/>
      </w:pPr>
    </w:p>
    <w:p w14:paraId="2A8AA84B" w14:textId="77777777" w:rsidR="00506F16" w:rsidRDefault="00506F16" w:rsidP="00506F16">
      <w:pPr>
        <w:pStyle w:val="Body"/>
      </w:pPr>
    </w:p>
    <w:p w14:paraId="24671B7E" w14:textId="77777777" w:rsidR="00506F16" w:rsidRDefault="00506F16" w:rsidP="00506F16">
      <w:pPr>
        <w:pStyle w:val="Body"/>
      </w:pPr>
    </w:p>
    <w:p w14:paraId="229666E0" w14:textId="77777777" w:rsidR="00506F16" w:rsidRDefault="00506F16" w:rsidP="00506F16">
      <w:pPr>
        <w:pStyle w:val="Body"/>
      </w:pPr>
    </w:p>
    <w:p w14:paraId="7EF55864" w14:textId="77777777" w:rsidR="00506F16" w:rsidRDefault="00506F16" w:rsidP="00506F16">
      <w:pPr>
        <w:pStyle w:val="Body"/>
      </w:pPr>
    </w:p>
    <w:p w14:paraId="254CFD4D" w14:textId="77777777" w:rsidR="00506F16" w:rsidRDefault="00506F16" w:rsidP="00506F16">
      <w:pPr>
        <w:pStyle w:val="Body"/>
      </w:pPr>
    </w:p>
    <w:p w14:paraId="159E27F3" w14:textId="77777777" w:rsidR="00506F16" w:rsidRDefault="00506F16" w:rsidP="00506F16">
      <w:pPr>
        <w:pStyle w:val="Body"/>
      </w:pPr>
    </w:p>
    <w:p w14:paraId="6F6F58DC" w14:textId="77777777" w:rsidR="00506F16" w:rsidRDefault="00506F16" w:rsidP="00506F16">
      <w:pPr>
        <w:pStyle w:val="Body"/>
      </w:pPr>
    </w:p>
    <w:p w14:paraId="1DB0E9FC" w14:textId="77777777" w:rsidR="00506F16" w:rsidRDefault="00506F16" w:rsidP="00506F16">
      <w:pPr>
        <w:pStyle w:val="Body"/>
      </w:pPr>
    </w:p>
    <w:p w14:paraId="270D17FA" w14:textId="77777777" w:rsidR="00506F16" w:rsidRDefault="00506F16" w:rsidP="00506F16">
      <w:pPr>
        <w:pStyle w:val="Body"/>
      </w:pPr>
    </w:p>
    <w:p w14:paraId="3C5DAAD6" w14:textId="77777777" w:rsidR="00506F16" w:rsidRDefault="00506F16" w:rsidP="00506F16">
      <w:pPr>
        <w:pStyle w:val="Body"/>
      </w:pPr>
    </w:p>
    <w:p w14:paraId="706FA57C" w14:textId="77777777" w:rsidR="00506F16" w:rsidRDefault="00506F16" w:rsidP="00506F16">
      <w:pPr>
        <w:pStyle w:val="Body"/>
      </w:pPr>
    </w:p>
    <w:p w14:paraId="062C8CC6" w14:textId="77777777" w:rsidR="00506F16" w:rsidRDefault="00506F16" w:rsidP="00506F16">
      <w:pPr>
        <w:pStyle w:val="Body"/>
      </w:pPr>
    </w:p>
    <w:p w14:paraId="76212BD1" w14:textId="77777777" w:rsidR="00506F16" w:rsidRDefault="00506F16" w:rsidP="00506F16">
      <w:pPr>
        <w:pStyle w:val="Body"/>
      </w:pPr>
    </w:p>
    <w:p w14:paraId="719AF15A" w14:textId="77777777" w:rsidR="00506F16" w:rsidRDefault="00506F16" w:rsidP="00506F16">
      <w:pPr>
        <w:pStyle w:val="Body"/>
      </w:pPr>
    </w:p>
    <w:p w14:paraId="6029F06C" w14:textId="77777777" w:rsidR="00506F16" w:rsidRDefault="00506F16" w:rsidP="00506F16">
      <w:pPr>
        <w:pStyle w:val="Body"/>
      </w:pPr>
    </w:p>
    <w:p w14:paraId="43F93A46" w14:textId="77777777" w:rsidR="00506F16" w:rsidRDefault="00506F16" w:rsidP="00506F16">
      <w:pPr>
        <w:pStyle w:val="Body"/>
      </w:pPr>
    </w:p>
    <w:p w14:paraId="4B3D5D81" w14:textId="77777777" w:rsidR="00506F16" w:rsidRDefault="00506F16" w:rsidP="00506F16">
      <w:pPr>
        <w:pStyle w:val="Body"/>
      </w:pPr>
    </w:p>
    <w:p w14:paraId="0C39020C" w14:textId="77777777" w:rsidR="00506F16" w:rsidRDefault="00506F16" w:rsidP="00506F16">
      <w:pPr>
        <w:pStyle w:val="Body"/>
      </w:pPr>
    </w:p>
    <w:p w14:paraId="02103438" w14:textId="77777777" w:rsidR="00506F16" w:rsidRDefault="00506F16" w:rsidP="00506F16">
      <w:pPr>
        <w:pStyle w:val="Body"/>
      </w:pPr>
    </w:p>
    <w:p w14:paraId="42B0021D" w14:textId="77777777" w:rsidR="00506F16" w:rsidRDefault="00506F16" w:rsidP="00506F16">
      <w:pPr>
        <w:pStyle w:val="Body"/>
      </w:pPr>
    </w:p>
    <w:p w14:paraId="754DEE19" w14:textId="77777777" w:rsidR="00506F16" w:rsidRDefault="00506F16" w:rsidP="00506F16">
      <w:pPr>
        <w:pStyle w:val="Body"/>
      </w:pPr>
    </w:p>
    <w:p w14:paraId="49B42493" w14:textId="77777777" w:rsidR="00506F16" w:rsidRDefault="00506F16" w:rsidP="00506F16">
      <w:pPr>
        <w:pStyle w:val="Body"/>
      </w:pPr>
    </w:p>
    <w:p w14:paraId="1EEC0009" w14:textId="21F561BA" w:rsidR="00506F16" w:rsidRPr="00D623A5" w:rsidRDefault="00100CE7" w:rsidP="00DA574E">
      <w:pPr>
        <w:jc w:val="left"/>
        <w:rPr>
          <w:color w:val="FFFFFF" w:themeColor="background1"/>
          <w:sz w:val="72"/>
          <w:szCs w:val="72"/>
        </w:rPr>
      </w:pPr>
      <w:r w:rsidRPr="00D623A5">
        <w:rPr>
          <w:color w:val="FFFFFF" w:themeColor="background1"/>
          <w:sz w:val="72"/>
          <w:szCs w:val="72"/>
        </w:rPr>
        <w:t>Project Online to Altus Migration</w:t>
      </w:r>
    </w:p>
    <w:p w14:paraId="5ECA0A92" w14:textId="49E9F4DC" w:rsidR="00506F16" w:rsidRPr="00D623A5" w:rsidRDefault="00841085" w:rsidP="00DA574E">
      <w:pPr>
        <w:jc w:val="left"/>
        <w:rPr>
          <w:color w:val="FFFFFF" w:themeColor="background1"/>
          <w:sz w:val="44"/>
          <w:szCs w:val="44"/>
        </w:rPr>
      </w:pPr>
      <w:r>
        <w:rPr>
          <w:color w:val="FFFFFF" w:themeColor="background1"/>
          <w:sz w:val="44"/>
          <w:szCs w:val="44"/>
        </w:rPr>
        <w:t>UAT and Priority Support Process</w:t>
      </w:r>
    </w:p>
    <w:p w14:paraId="080470D0" w14:textId="77777777" w:rsidR="00506F16" w:rsidRPr="00150EFC" w:rsidRDefault="00506F16" w:rsidP="00D623A5"/>
    <w:p w14:paraId="2D689303" w14:textId="77777777" w:rsidR="00506F16" w:rsidRDefault="00506F16" w:rsidP="00506F16">
      <w:pPr>
        <w:pStyle w:val="Body"/>
      </w:pPr>
      <w:r>
        <w:rPr>
          <w:noProof/>
        </w:rPr>
        <mc:AlternateContent>
          <mc:Choice Requires="wps">
            <w:drawing>
              <wp:anchor distT="0" distB="0" distL="114300" distR="114300" simplePos="0" relativeHeight="251658240" behindDoc="0" locked="0" layoutInCell="1" allowOverlap="1" wp14:anchorId="359A6FE7" wp14:editId="00C3BA34">
                <wp:simplePos x="0" y="0"/>
                <wp:positionH relativeFrom="page">
                  <wp:align>right</wp:align>
                </wp:positionH>
                <wp:positionV relativeFrom="margin">
                  <wp:align>outside</wp:align>
                </wp:positionV>
                <wp:extent cx="1404000" cy="406800"/>
                <wp:effectExtent l="0" t="0" r="5715" b="0"/>
                <wp:wrapNone/>
                <wp:docPr id="12" name="Text Box 12"/>
                <wp:cNvGraphicFramePr/>
                <a:graphic xmlns:a="http://schemas.openxmlformats.org/drawingml/2006/main">
                  <a:graphicData uri="http://schemas.microsoft.com/office/word/2010/wordprocessingShape">
                    <wps:wsp>
                      <wps:cNvSpPr txBox="1"/>
                      <wps:spPr>
                        <a:xfrm>
                          <a:off x="0" y="0"/>
                          <a:ext cx="1404000" cy="406800"/>
                        </a:xfrm>
                        <a:prstGeom prst="rect">
                          <a:avLst/>
                        </a:prstGeom>
                        <a:solidFill>
                          <a:schemeClr val="lt1"/>
                        </a:solidFill>
                        <a:ln w="6350">
                          <a:noFill/>
                        </a:ln>
                      </wps:spPr>
                      <wps:txbx>
                        <w:txbxContent>
                          <w:p w14:paraId="50EE7AFC" w14:textId="78A43929" w:rsidR="00506F16" w:rsidRDefault="00A968C1" w:rsidP="00506F16">
                            <w:pPr>
                              <w:spacing w:after="0" w:line="240" w:lineRule="auto"/>
                            </w:pPr>
                            <w:r>
                              <w:t>March 2026</w:t>
                            </w:r>
                          </w:p>
                        </w:txbxContent>
                      </wps:txbx>
                      <wps:bodyPr rot="0" spcFirstLastPara="0" vertOverflow="overflow" horzOverflow="overflow" vert="horz" wrap="square" lIns="91440" tIns="108000" rIns="91440" bIns="10800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59A6FE7" id="_x0000_t202" coordsize="21600,21600" o:spt="202" path="m,l,21600r21600,l21600,xe">
                <v:stroke joinstyle="miter"/>
                <v:path gradientshapeok="t" o:connecttype="rect"/>
              </v:shapetype>
              <v:shape id="Text Box 12" o:spid="_x0000_s1026" type="#_x0000_t202" style="position:absolute;left:0;text-align:left;margin-left:59.35pt;margin-top:0;width:110.55pt;height:32.05pt;z-index:251658240;visibility:visible;mso-wrap-style:square;mso-width-percent:0;mso-height-percent:0;mso-wrap-distance-left:9pt;mso-wrap-distance-top:0;mso-wrap-distance-right:9pt;mso-wrap-distance-bottom:0;mso-position-horizontal:right;mso-position-horizontal-relative:page;mso-position-vertical:outsid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" fillcolor="white [3201]" stroked="f" strokeweight=".5pt">
                <v:textbox style="mso-fit-shape-to-text:t" inset=",3mm,,3mm">
                  <w:txbxContent>
                    <w:p w14:paraId="50EE7AFC" w14:textId="78A43929" w:rsidR="00506F16" w:rsidRDefault="00A968C1" w:rsidP="00506F16">
                      <w:pPr>
                        <w:spacing w:after="0" w:line="240" w:lineRule="auto"/>
                      </w:pPr>
                      <w:r>
                        <w:t>March 2026</w:t>
                      </w:r>
                    </w:p>
                  </w:txbxContent>
                </v:textbox>
                <w10:wrap anchorx="page" anchory="margin"/>
              </v:shape>
            </w:pict>
          </mc:Fallback>
        </mc:AlternateContent>
      </w:r>
      <w:r>
        <w:br w:type="page"/>
      </w:r>
    </w:p>
    <w:sdt>
      <w:sdtPr>
        <w:rPr>
          <w:rFonts w:asciiTheme="minorHAnsi" w:eastAsiaTheme="minorHAnsi" w:hAnsiTheme="minorHAnsi" w:cstheme="minorBidi"/>
          <w:b w:val="0"/>
          <w:color w:val="auto"/>
          <w:sz w:val="22"/>
          <w:szCs w:val="22"/>
          <w:lang w:val="en-AU"/>
        </w:rPr>
        <w:id w:val="803505091"/>
        <w:docPartObj>
          <w:docPartGallery w:val="Table of Contents"/>
          <w:docPartUnique/>
        </w:docPartObj>
      </w:sdtPr>
      <w:sdtEndPr>
        <w:rPr>
          <w:bCs/>
          <w:noProof/>
        </w:rPr>
      </w:sdtEndPr>
      <w:sdtContent>
        <w:p w14:paraId="73CDA631" w14:textId="53F5CE25" w:rsidR="000D7F47" w:rsidRDefault="000D7F47">
          <w:pPr>
            <w:pStyle w:val="TOCHeading"/>
          </w:pPr>
          <w:r>
            <w:t>Contents</w:t>
          </w:r>
        </w:p>
        <w:p w14:paraId="23856DE5" w14:textId="7207BEEC" w:rsidR="00DA154B" w:rsidRDefault="000D7F47">
          <w:pPr>
            <w:pStyle w:val="TOC1"/>
            <w:rPr>
              <w:rFonts w:eastAsiaTheme="minorEastAsia" w:cstheme="minorBidi"/>
              <w:kern w:val="2"/>
              <w:sz w:val="24"/>
              <w:szCs w:val="30"/>
              <w:lang w:eastAsia="zh-CN" w:bidi="th-TH"/>
              <w14:ligatures w14:val="standardContextual"/>
            </w:rPr>
          </w:pPr>
          <w:r>
            <w:fldChar w:fldCharType="begin"/>
          </w:r>
          <w:r>
            <w:instrText xml:space="preserve"> TOC \o "1-3" \h \z \u </w:instrText>
          </w:r>
          <w:r>
            <w:fldChar w:fldCharType="separate"/>
          </w:r>
          <w:hyperlink w:anchor="_Toc224750388" w:history="1">
            <w:r w:rsidR="00DA154B" w:rsidRPr="0027443B">
              <w:rPr>
                <w:rStyle w:val="Hyperlink"/>
              </w:rPr>
              <w:t>Testing &amp; Issue Resolution Support Process</w:t>
            </w:r>
            <w:r w:rsidR="00DA154B">
              <w:rPr>
                <w:webHidden/>
              </w:rPr>
              <w:tab/>
            </w:r>
            <w:r w:rsidR="00DA154B">
              <w:rPr>
                <w:webHidden/>
              </w:rPr>
              <w:fldChar w:fldCharType="begin"/>
            </w:r>
            <w:r w:rsidR="00DA154B">
              <w:rPr>
                <w:webHidden/>
              </w:rPr>
              <w:instrText xml:space="preserve"> PAGEREF _Toc224750388 \h </w:instrText>
            </w:r>
            <w:r w:rsidR="00DA154B">
              <w:rPr>
                <w:webHidden/>
              </w:rPr>
            </w:r>
            <w:r w:rsidR="00DA154B">
              <w:rPr>
                <w:webHidden/>
              </w:rPr>
              <w:fldChar w:fldCharType="separate"/>
            </w:r>
            <w:r w:rsidR="00DA154B">
              <w:rPr>
                <w:webHidden/>
              </w:rPr>
              <w:t>3</w:t>
            </w:r>
            <w:r w:rsidR="00DA154B">
              <w:rPr>
                <w:webHidden/>
              </w:rPr>
              <w:fldChar w:fldCharType="end"/>
            </w:r>
          </w:hyperlink>
        </w:p>
        <w:p w14:paraId="50D5B592" w14:textId="2810A0C9" w:rsidR="00DA154B" w:rsidRDefault="00DA154B">
          <w:pPr>
            <w:pStyle w:val="TOC2"/>
            <w:tabs>
              <w:tab w:val="right" w:leader="dot" w:pos="10456"/>
            </w:tabs>
            <w:rPr>
              <w:rFonts w:eastAsiaTheme="minorEastAsia"/>
              <w:noProof/>
              <w:kern w:val="2"/>
              <w:sz w:val="24"/>
              <w:szCs w:val="30"/>
              <w:lang w:eastAsia="zh-CN" w:bidi="th-TH"/>
              <w14:ligatures w14:val="standardContextual"/>
            </w:rPr>
          </w:pPr>
          <w:hyperlink w:anchor="_Toc224750389" w:history="1">
            <w:r w:rsidRPr="0027443B">
              <w:rPr>
                <w:rStyle w:val="Hyperlink"/>
                <w:noProof/>
              </w:rPr>
              <w:t>Altus Non-Production Environment</w:t>
            </w:r>
            <w:r>
              <w:rPr>
                <w:noProof/>
                <w:webHidden/>
              </w:rPr>
              <w:tab/>
            </w:r>
            <w:r>
              <w:rPr>
                <w:noProof/>
                <w:webHidden/>
              </w:rPr>
              <w:fldChar w:fldCharType="begin"/>
            </w:r>
            <w:r>
              <w:rPr>
                <w:noProof/>
                <w:webHidden/>
              </w:rPr>
              <w:instrText xml:space="preserve"> PAGEREF _Toc224750389 \h </w:instrText>
            </w:r>
            <w:r>
              <w:rPr>
                <w:noProof/>
                <w:webHidden/>
              </w:rPr>
            </w:r>
            <w:r>
              <w:rPr>
                <w:noProof/>
                <w:webHidden/>
              </w:rPr>
              <w:fldChar w:fldCharType="separate"/>
            </w:r>
            <w:r>
              <w:rPr>
                <w:noProof/>
                <w:webHidden/>
              </w:rPr>
              <w:t>4</w:t>
            </w:r>
            <w:r>
              <w:rPr>
                <w:noProof/>
                <w:webHidden/>
              </w:rPr>
              <w:fldChar w:fldCharType="end"/>
            </w:r>
          </w:hyperlink>
        </w:p>
        <w:p w14:paraId="31A3718A" w14:textId="72A585AC" w:rsidR="00DA154B" w:rsidRDefault="00DA154B">
          <w:pPr>
            <w:pStyle w:val="TOC3"/>
            <w:tabs>
              <w:tab w:val="right" w:leader="dot" w:pos="10456"/>
            </w:tabs>
            <w:rPr>
              <w:rFonts w:eastAsiaTheme="minorEastAsia"/>
              <w:noProof/>
              <w:kern w:val="2"/>
              <w:sz w:val="24"/>
              <w:szCs w:val="30"/>
              <w:lang w:eastAsia="zh-CN" w:bidi="th-TH"/>
              <w14:ligatures w14:val="standardContextual"/>
            </w:rPr>
          </w:pPr>
          <w:hyperlink w:anchor="_Toc224750390" w:history="1">
            <w:r w:rsidRPr="0027443B">
              <w:rPr>
                <w:rStyle w:val="Hyperlink"/>
                <w:noProof/>
              </w:rPr>
              <w:t>Altus Development Environment</w:t>
            </w:r>
            <w:r>
              <w:rPr>
                <w:noProof/>
                <w:webHidden/>
              </w:rPr>
              <w:tab/>
            </w:r>
            <w:r>
              <w:rPr>
                <w:noProof/>
                <w:webHidden/>
              </w:rPr>
              <w:fldChar w:fldCharType="begin"/>
            </w:r>
            <w:r>
              <w:rPr>
                <w:noProof/>
                <w:webHidden/>
              </w:rPr>
              <w:instrText xml:space="preserve"> PAGEREF _Toc224750390 \h </w:instrText>
            </w:r>
            <w:r>
              <w:rPr>
                <w:noProof/>
                <w:webHidden/>
              </w:rPr>
            </w:r>
            <w:r>
              <w:rPr>
                <w:noProof/>
                <w:webHidden/>
              </w:rPr>
              <w:fldChar w:fldCharType="separate"/>
            </w:r>
            <w:r>
              <w:rPr>
                <w:noProof/>
                <w:webHidden/>
              </w:rPr>
              <w:t>4</w:t>
            </w:r>
            <w:r>
              <w:rPr>
                <w:noProof/>
                <w:webHidden/>
              </w:rPr>
              <w:fldChar w:fldCharType="end"/>
            </w:r>
          </w:hyperlink>
        </w:p>
        <w:p w14:paraId="66478A41" w14:textId="2B8B2F7A" w:rsidR="00DA154B" w:rsidRDefault="00DA154B">
          <w:pPr>
            <w:pStyle w:val="TOC3"/>
            <w:tabs>
              <w:tab w:val="right" w:leader="dot" w:pos="10456"/>
            </w:tabs>
            <w:rPr>
              <w:rFonts w:eastAsiaTheme="minorEastAsia"/>
              <w:noProof/>
              <w:kern w:val="2"/>
              <w:sz w:val="24"/>
              <w:szCs w:val="30"/>
              <w:lang w:eastAsia="zh-CN" w:bidi="th-TH"/>
              <w14:ligatures w14:val="standardContextual"/>
            </w:rPr>
          </w:pPr>
          <w:hyperlink w:anchor="_Toc224750391" w:history="1">
            <w:r w:rsidRPr="0027443B">
              <w:rPr>
                <w:rStyle w:val="Hyperlink"/>
                <w:noProof/>
              </w:rPr>
              <w:t>Altus Test Environment</w:t>
            </w:r>
            <w:r>
              <w:rPr>
                <w:noProof/>
                <w:webHidden/>
              </w:rPr>
              <w:tab/>
            </w:r>
            <w:r>
              <w:rPr>
                <w:noProof/>
                <w:webHidden/>
              </w:rPr>
              <w:fldChar w:fldCharType="begin"/>
            </w:r>
            <w:r>
              <w:rPr>
                <w:noProof/>
                <w:webHidden/>
              </w:rPr>
              <w:instrText xml:space="preserve"> PAGEREF _Toc224750391 \h </w:instrText>
            </w:r>
            <w:r>
              <w:rPr>
                <w:noProof/>
                <w:webHidden/>
              </w:rPr>
            </w:r>
            <w:r>
              <w:rPr>
                <w:noProof/>
                <w:webHidden/>
              </w:rPr>
              <w:fldChar w:fldCharType="separate"/>
            </w:r>
            <w:r>
              <w:rPr>
                <w:noProof/>
                <w:webHidden/>
              </w:rPr>
              <w:t>4</w:t>
            </w:r>
            <w:r>
              <w:rPr>
                <w:noProof/>
                <w:webHidden/>
              </w:rPr>
              <w:fldChar w:fldCharType="end"/>
            </w:r>
          </w:hyperlink>
        </w:p>
        <w:p w14:paraId="618FD89F" w14:textId="15277190" w:rsidR="00DA154B" w:rsidRDefault="00DA154B">
          <w:pPr>
            <w:pStyle w:val="TOC3"/>
            <w:tabs>
              <w:tab w:val="right" w:leader="dot" w:pos="10456"/>
            </w:tabs>
            <w:rPr>
              <w:rFonts w:eastAsiaTheme="minorEastAsia"/>
              <w:noProof/>
              <w:kern w:val="2"/>
              <w:sz w:val="24"/>
              <w:szCs w:val="30"/>
              <w:lang w:eastAsia="zh-CN" w:bidi="th-TH"/>
              <w14:ligatures w14:val="standardContextual"/>
            </w:rPr>
          </w:pPr>
          <w:hyperlink w:anchor="_Toc224750392" w:history="1">
            <w:r w:rsidRPr="0027443B">
              <w:rPr>
                <w:rStyle w:val="Hyperlink"/>
                <w:noProof/>
              </w:rPr>
              <w:t>Altus Production Environment</w:t>
            </w:r>
            <w:r>
              <w:rPr>
                <w:noProof/>
                <w:webHidden/>
              </w:rPr>
              <w:tab/>
            </w:r>
            <w:r>
              <w:rPr>
                <w:noProof/>
                <w:webHidden/>
              </w:rPr>
              <w:fldChar w:fldCharType="begin"/>
            </w:r>
            <w:r>
              <w:rPr>
                <w:noProof/>
                <w:webHidden/>
              </w:rPr>
              <w:instrText xml:space="preserve"> PAGEREF _Toc224750392 \h </w:instrText>
            </w:r>
            <w:r>
              <w:rPr>
                <w:noProof/>
                <w:webHidden/>
              </w:rPr>
            </w:r>
            <w:r>
              <w:rPr>
                <w:noProof/>
                <w:webHidden/>
              </w:rPr>
              <w:fldChar w:fldCharType="separate"/>
            </w:r>
            <w:r>
              <w:rPr>
                <w:noProof/>
                <w:webHidden/>
              </w:rPr>
              <w:t>4</w:t>
            </w:r>
            <w:r>
              <w:rPr>
                <w:noProof/>
                <w:webHidden/>
              </w:rPr>
              <w:fldChar w:fldCharType="end"/>
            </w:r>
          </w:hyperlink>
        </w:p>
        <w:p w14:paraId="66763303" w14:textId="19E354A6" w:rsidR="00DA154B" w:rsidRDefault="00DA154B">
          <w:pPr>
            <w:pStyle w:val="TOC2"/>
            <w:tabs>
              <w:tab w:val="right" w:leader="dot" w:pos="10456"/>
            </w:tabs>
            <w:rPr>
              <w:rFonts w:eastAsiaTheme="minorEastAsia"/>
              <w:noProof/>
              <w:kern w:val="2"/>
              <w:sz w:val="24"/>
              <w:szCs w:val="30"/>
              <w:lang w:eastAsia="zh-CN" w:bidi="th-TH"/>
              <w14:ligatures w14:val="standardContextual"/>
            </w:rPr>
          </w:pPr>
          <w:hyperlink w:anchor="_Toc224750393" w:history="1">
            <w:r w:rsidRPr="0027443B">
              <w:rPr>
                <w:rStyle w:val="Hyperlink"/>
                <w:noProof/>
              </w:rPr>
              <w:t>Considerations</w:t>
            </w:r>
            <w:r>
              <w:rPr>
                <w:noProof/>
                <w:webHidden/>
              </w:rPr>
              <w:tab/>
            </w:r>
            <w:r>
              <w:rPr>
                <w:noProof/>
                <w:webHidden/>
              </w:rPr>
              <w:fldChar w:fldCharType="begin"/>
            </w:r>
            <w:r>
              <w:rPr>
                <w:noProof/>
                <w:webHidden/>
              </w:rPr>
              <w:instrText xml:space="preserve"> PAGEREF _Toc224750393 \h </w:instrText>
            </w:r>
            <w:r>
              <w:rPr>
                <w:noProof/>
                <w:webHidden/>
              </w:rPr>
            </w:r>
            <w:r>
              <w:rPr>
                <w:noProof/>
                <w:webHidden/>
              </w:rPr>
              <w:fldChar w:fldCharType="separate"/>
            </w:r>
            <w:r>
              <w:rPr>
                <w:noProof/>
                <w:webHidden/>
              </w:rPr>
              <w:t>4</w:t>
            </w:r>
            <w:r>
              <w:rPr>
                <w:noProof/>
                <w:webHidden/>
              </w:rPr>
              <w:fldChar w:fldCharType="end"/>
            </w:r>
          </w:hyperlink>
        </w:p>
        <w:p w14:paraId="5F8FDF77" w14:textId="609FBFC4" w:rsidR="00DA154B" w:rsidRDefault="00DA154B">
          <w:pPr>
            <w:pStyle w:val="TOC2"/>
            <w:tabs>
              <w:tab w:val="right" w:leader="dot" w:pos="10456"/>
            </w:tabs>
            <w:rPr>
              <w:rFonts w:eastAsiaTheme="minorEastAsia"/>
              <w:noProof/>
              <w:kern w:val="2"/>
              <w:sz w:val="24"/>
              <w:szCs w:val="30"/>
              <w:lang w:eastAsia="zh-CN" w:bidi="th-TH"/>
              <w14:ligatures w14:val="standardContextual"/>
            </w:rPr>
          </w:pPr>
          <w:hyperlink w:anchor="_Toc224750394" w:history="1">
            <w:r w:rsidRPr="0027443B">
              <w:rPr>
                <w:rStyle w:val="Hyperlink"/>
                <w:noProof/>
              </w:rPr>
              <w:t>Test Stages</w:t>
            </w:r>
            <w:r>
              <w:rPr>
                <w:noProof/>
                <w:webHidden/>
              </w:rPr>
              <w:tab/>
            </w:r>
            <w:r>
              <w:rPr>
                <w:noProof/>
                <w:webHidden/>
              </w:rPr>
              <w:fldChar w:fldCharType="begin"/>
            </w:r>
            <w:r>
              <w:rPr>
                <w:noProof/>
                <w:webHidden/>
              </w:rPr>
              <w:instrText xml:space="preserve"> PAGEREF _Toc224750394 \h </w:instrText>
            </w:r>
            <w:r>
              <w:rPr>
                <w:noProof/>
                <w:webHidden/>
              </w:rPr>
            </w:r>
            <w:r>
              <w:rPr>
                <w:noProof/>
                <w:webHidden/>
              </w:rPr>
              <w:fldChar w:fldCharType="separate"/>
            </w:r>
            <w:r>
              <w:rPr>
                <w:noProof/>
                <w:webHidden/>
              </w:rPr>
              <w:t>5</w:t>
            </w:r>
            <w:r>
              <w:rPr>
                <w:noProof/>
                <w:webHidden/>
              </w:rPr>
              <w:fldChar w:fldCharType="end"/>
            </w:r>
          </w:hyperlink>
        </w:p>
        <w:p w14:paraId="2D7CCF38" w14:textId="0E6A6B3B" w:rsidR="00DA154B" w:rsidRDefault="00DA154B">
          <w:pPr>
            <w:pStyle w:val="TOC2"/>
            <w:tabs>
              <w:tab w:val="right" w:leader="dot" w:pos="10456"/>
            </w:tabs>
            <w:rPr>
              <w:rFonts w:eastAsiaTheme="minorEastAsia"/>
              <w:noProof/>
              <w:kern w:val="2"/>
              <w:sz w:val="24"/>
              <w:szCs w:val="30"/>
              <w:lang w:eastAsia="zh-CN" w:bidi="th-TH"/>
              <w14:ligatures w14:val="standardContextual"/>
            </w:rPr>
          </w:pPr>
          <w:hyperlink w:anchor="_Toc224750395" w:history="1">
            <w:r w:rsidRPr="0027443B">
              <w:rPr>
                <w:rStyle w:val="Hyperlink"/>
                <w:noProof/>
              </w:rPr>
              <w:t>Issue Priority Definitions</w:t>
            </w:r>
            <w:r>
              <w:rPr>
                <w:noProof/>
                <w:webHidden/>
              </w:rPr>
              <w:tab/>
            </w:r>
            <w:r>
              <w:rPr>
                <w:noProof/>
                <w:webHidden/>
              </w:rPr>
              <w:fldChar w:fldCharType="begin"/>
            </w:r>
            <w:r>
              <w:rPr>
                <w:noProof/>
                <w:webHidden/>
              </w:rPr>
              <w:instrText xml:space="preserve"> PAGEREF _Toc224750395 \h </w:instrText>
            </w:r>
            <w:r>
              <w:rPr>
                <w:noProof/>
                <w:webHidden/>
              </w:rPr>
            </w:r>
            <w:r>
              <w:rPr>
                <w:noProof/>
                <w:webHidden/>
              </w:rPr>
              <w:fldChar w:fldCharType="separate"/>
            </w:r>
            <w:r>
              <w:rPr>
                <w:noProof/>
                <w:webHidden/>
              </w:rPr>
              <w:t>5</w:t>
            </w:r>
            <w:r>
              <w:rPr>
                <w:noProof/>
                <w:webHidden/>
              </w:rPr>
              <w:fldChar w:fldCharType="end"/>
            </w:r>
          </w:hyperlink>
        </w:p>
        <w:p w14:paraId="28265BE8" w14:textId="5A3FF602" w:rsidR="00DA154B" w:rsidRDefault="00DA154B">
          <w:pPr>
            <w:pStyle w:val="TOC2"/>
            <w:tabs>
              <w:tab w:val="right" w:leader="dot" w:pos="10456"/>
            </w:tabs>
            <w:rPr>
              <w:rFonts w:eastAsiaTheme="minorEastAsia"/>
              <w:noProof/>
              <w:kern w:val="2"/>
              <w:sz w:val="24"/>
              <w:szCs w:val="30"/>
              <w:lang w:eastAsia="zh-CN" w:bidi="th-TH"/>
              <w14:ligatures w14:val="standardContextual"/>
            </w:rPr>
          </w:pPr>
          <w:hyperlink w:anchor="_Toc224750396" w:history="1">
            <w:r w:rsidRPr="0027443B">
              <w:rPr>
                <w:rStyle w:val="Hyperlink"/>
                <w:noProof/>
              </w:rPr>
              <w:t>Issue Status Definitions</w:t>
            </w:r>
            <w:r>
              <w:rPr>
                <w:noProof/>
                <w:webHidden/>
              </w:rPr>
              <w:tab/>
            </w:r>
            <w:r>
              <w:rPr>
                <w:noProof/>
                <w:webHidden/>
              </w:rPr>
              <w:fldChar w:fldCharType="begin"/>
            </w:r>
            <w:r>
              <w:rPr>
                <w:noProof/>
                <w:webHidden/>
              </w:rPr>
              <w:instrText xml:space="preserve"> PAGEREF _Toc224750396 \h </w:instrText>
            </w:r>
            <w:r>
              <w:rPr>
                <w:noProof/>
                <w:webHidden/>
              </w:rPr>
            </w:r>
            <w:r>
              <w:rPr>
                <w:noProof/>
                <w:webHidden/>
              </w:rPr>
              <w:fldChar w:fldCharType="separate"/>
            </w:r>
            <w:r>
              <w:rPr>
                <w:noProof/>
                <w:webHidden/>
              </w:rPr>
              <w:t>6</w:t>
            </w:r>
            <w:r>
              <w:rPr>
                <w:noProof/>
                <w:webHidden/>
              </w:rPr>
              <w:fldChar w:fldCharType="end"/>
            </w:r>
          </w:hyperlink>
        </w:p>
        <w:p w14:paraId="62A08E79" w14:textId="026634B6" w:rsidR="00DA154B" w:rsidRDefault="00DA154B">
          <w:pPr>
            <w:pStyle w:val="TOC2"/>
            <w:tabs>
              <w:tab w:val="right" w:leader="dot" w:pos="10456"/>
            </w:tabs>
            <w:rPr>
              <w:rFonts w:eastAsiaTheme="minorEastAsia"/>
              <w:noProof/>
              <w:kern w:val="2"/>
              <w:sz w:val="24"/>
              <w:szCs w:val="30"/>
              <w:lang w:eastAsia="zh-CN" w:bidi="th-TH"/>
              <w14:ligatures w14:val="standardContextual"/>
            </w:rPr>
          </w:pPr>
          <w:hyperlink w:anchor="_Toc224750397" w:history="1">
            <w:r w:rsidRPr="0027443B">
              <w:rPr>
                <w:rStyle w:val="Hyperlink"/>
                <w:noProof/>
              </w:rPr>
              <w:t>How to raise an issue</w:t>
            </w:r>
            <w:r>
              <w:rPr>
                <w:noProof/>
                <w:webHidden/>
              </w:rPr>
              <w:tab/>
            </w:r>
            <w:r>
              <w:rPr>
                <w:noProof/>
                <w:webHidden/>
              </w:rPr>
              <w:fldChar w:fldCharType="begin"/>
            </w:r>
            <w:r>
              <w:rPr>
                <w:noProof/>
                <w:webHidden/>
              </w:rPr>
              <w:instrText xml:space="preserve"> PAGEREF _Toc224750397 \h </w:instrText>
            </w:r>
            <w:r>
              <w:rPr>
                <w:noProof/>
                <w:webHidden/>
              </w:rPr>
            </w:r>
            <w:r>
              <w:rPr>
                <w:noProof/>
                <w:webHidden/>
              </w:rPr>
              <w:fldChar w:fldCharType="separate"/>
            </w:r>
            <w:r>
              <w:rPr>
                <w:noProof/>
                <w:webHidden/>
              </w:rPr>
              <w:t>7</w:t>
            </w:r>
            <w:r>
              <w:rPr>
                <w:noProof/>
                <w:webHidden/>
              </w:rPr>
              <w:fldChar w:fldCharType="end"/>
            </w:r>
          </w:hyperlink>
        </w:p>
        <w:p w14:paraId="4486A4D4" w14:textId="0C194CB0" w:rsidR="00DA154B" w:rsidRDefault="00DA154B">
          <w:pPr>
            <w:pStyle w:val="TOC2"/>
            <w:tabs>
              <w:tab w:val="right" w:leader="dot" w:pos="10456"/>
            </w:tabs>
            <w:rPr>
              <w:rFonts w:eastAsiaTheme="minorEastAsia"/>
              <w:noProof/>
              <w:kern w:val="2"/>
              <w:sz w:val="24"/>
              <w:szCs w:val="30"/>
              <w:lang w:eastAsia="zh-CN" w:bidi="th-TH"/>
              <w14:ligatures w14:val="standardContextual"/>
            </w:rPr>
          </w:pPr>
          <w:hyperlink w:anchor="_Toc224750398" w:history="1">
            <w:r w:rsidRPr="0027443B">
              <w:rPr>
                <w:rStyle w:val="Hyperlink"/>
                <w:noProof/>
              </w:rPr>
              <w:t>Altus one-week priority support Process</w:t>
            </w:r>
            <w:r>
              <w:rPr>
                <w:noProof/>
                <w:webHidden/>
              </w:rPr>
              <w:tab/>
            </w:r>
            <w:r>
              <w:rPr>
                <w:noProof/>
                <w:webHidden/>
              </w:rPr>
              <w:fldChar w:fldCharType="begin"/>
            </w:r>
            <w:r>
              <w:rPr>
                <w:noProof/>
                <w:webHidden/>
              </w:rPr>
              <w:instrText xml:space="preserve"> PAGEREF _Toc224750398 \h </w:instrText>
            </w:r>
            <w:r>
              <w:rPr>
                <w:noProof/>
                <w:webHidden/>
              </w:rPr>
            </w:r>
            <w:r>
              <w:rPr>
                <w:noProof/>
                <w:webHidden/>
              </w:rPr>
              <w:fldChar w:fldCharType="separate"/>
            </w:r>
            <w:r>
              <w:rPr>
                <w:noProof/>
                <w:webHidden/>
              </w:rPr>
              <w:t>8</w:t>
            </w:r>
            <w:r>
              <w:rPr>
                <w:noProof/>
                <w:webHidden/>
              </w:rPr>
              <w:fldChar w:fldCharType="end"/>
            </w:r>
          </w:hyperlink>
        </w:p>
        <w:p w14:paraId="336DA70E" w14:textId="7C6E2FEE" w:rsidR="000D7F47" w:rsidRDefault="000D7F47">
          <w:r>
            <w:rPr>
              <w:b/>
              <w:bCs/>
              <w:noProof/>
            </w:rPr>
            <w:fldChar w:fldCharType="end"/>
          </w:r>
        </w:p>
      </w:sdtContent>
    </w:sdt>
    <w:p w14:paraId="4108323F" w14:textId="77777777" w:rsidR="00506F16" w:rsidRDefault="00506F16" w:rsidP="00506F16">
      <w:pPr>
        <w:pStyle w:val="Body"/>
      </w:pPr>
    </w:p>
    <w:p w14:paraId="727C6630" w14:textId="77777777" w:rsidR="00506F16" w:rsidRDefault="00506F16" w:rsidP="00506F16">
      <w:pPr>
        <w:pStyle w:val="Body"/>
      </w:pPr>
    </w:p>
    <w:p w14:paraId="29692E55" w14:textId="77777777" w:rsidR="00506F16" w:rsidRDefault="00506F16" w:rsidP="00506F16">
      <w:pPr>
        <w:pStyle w:val="Body"/>
      </w:pPr>
    </w:p>
    <w:p w14:paraId="43234620" w14:textId="77777777" w:rsidR="00506F16" w:rsidRDefault="00506F16" w:rsidP="00506F16">
      <w:pPr>
        <w:pStyle w:val="Body"/>
        <w:rPr>
          <w:rFonts w:eastAsiaTheme="majorEastAsia"/>
          <w:spacing w:val="-10"/>
          <w:kern w:val="28"/>
        </w:rPr>
      </w:pPr>
      <w:r>
        <w:br w:type="page"/>
      </w:r>
    </w:p>
    <w:p w14:paraId="735CDA1B" w14:textId="2FC00511" w:rsidR="007E2034" w:rsidRDefault="00A3632E" w:rsidP="00E152FE">
      <w:pPr>
        <w:pStyle w:val="Heading1"/>
        <w:jc w:val="left"/>
      </w:pPr>
      <w:bookmarkStart w:id="0" w:name="_Ref224136570"/>
      <w:bookmarkStart w:id="1" w:name="_Toc224750388"/>
      <w:r>
        <w:lastRenderedPageBreak/>
        <w:t>Testing</w:t>
      </w:r>
      <w:r w:rsidR="00E152FE">
        <w:t xml:space="preserve"> </w:t>
      </w:r>
      <w:r w:rsidR="002170B5">
        <w:t>&amp;</w:t>
      </w:r>
      <w:r>
        <w:t xml:space="preserve"> </w:t>
      </w:r>
      <w:r w:rsidR="0012129A" w:rsidRPr="007F3B8A">
        <w:t>Issue</w:t>
      </w:r>
      <w:r w:rsidR="0012129A">
        <w:t xml:space="preserve"> Resolution </w:t>
      </w:r>
      <w:r w:rsidR="007E2034">
        <w:t xml:space="preserve">Support </w:t>
      </w:r>
      <w:r w:rsidR="00B05DE4">
        <w:t>Process</w:t>
      </w:r>
      <w:bookmarkEnd w:id="0"/>
      <w:bookmarkEnd w:id="1"/>
    </w:p>
    <w:p w14:paraId="35301887" w14:textId="77777777" w:rsidR="00483284" w:rsidRPr="00483284" w:rsidRDefault="00483284" w:rsidP="00E152FE">
      <w:pPr>
        <w:jc w:val="left"/>
      </w:pPr>
      <w:r w:rsidRPr="00483284">
        <w:t>This section outlines the testing and issue resolution support process that will be followed during the Project Online to Altus migration implementation. The purpose of this process is to provide a structured approach for validating the solution, managing issues identified during testing, and ensuring that the Altus environment is ready for production use.</w:t>
      </w:r>
    </w:p>
    <w:p w14:paraId="1129BC07" w14:textId="77777777" w:rsidR="00483284" w:rsidRPr="00483284" w:rsidRDefault="00483284" w:rsidP="00483284">
      <w:r w:rsidRPr="00483284">
        <w:t>The process defines how testing will be conducted across the Development, Test, and Production environments within the client’s Microsoft 365 tenant, as well as the roles and expectations for both the implementation team and the client during the testing period. It also establishes a consistent method for logging, tracking, prioritising, and resolving issues through the shared project collaboration site.</w:t>
      </w:r>
    </w:p>
    <w:p w14:paraId="091F08E0" w14:textId="77777777" w:rsidR="00483284" w:rsidRPr="00483284" w:rsidRDefault="00483284" w:rsidP="00483284">
      <w:r w:rsidRPr="00483284">
        <w:t>By following this approach, the project team can ensure that configuration changes, migrated data, integrations, and user access are appropriately validated prior to go-live. This helps reduce risk, improve transparency in issue management, and support a smooth transition to the live Altus production environment, including the initial post–go-live priority support period.</w:t>
      </w:r>
    </w:p>
    <w:p w14:paraId="72CF888F" w14:textId="0988BC83" w:rsidR="00C3614E" w:rsidRDefault="000A5B6C" w:rsidP="000A5B6C">
      <w:pPr>
        <w:jc w:val="center"/>
      </w:pPr>
      <w:r>
        <w:rPr>
          <w:noProof/>
        </w:rPr>
        <w:drawing>
          <wp:inline distT="0" distB="0" distL="0" distR="0" wp14:anchorId="5DB493BA" wp14:editId="3CFA04F9">
            <wp:extent cx="6119442" cy="5575146"/>
            <wp:effectExtent l="0" t="0" r="0" b="6985"/>
            <wp:docPr id="104827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72549"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119442" cy="5575146"/>
                    </a:xfrm>
                    <a:prstGeom prst="rect">
                      <a:avLst/>
                    </a:prstGeom>
                  </pic:spPr>
                </pic:pic>
              </a:graphicData>
            </a:graphic>
          </wp:inline>
        </w:drawing>
      </w:r>
    </w:p>
    <w:p w14:paraId="36479B92" w14:textId="6DF9D791" w:rsidR="00672B13" w:rsidRDefault="009F3277" w:rsidP="002170B5">
      <w:pPr>
        <w:pStyle w:val="Heading2"/>
      </w:pPr>
      <w:bookmarkStart w:id="2" w:name="_Toc224750389"/>
      <w:r>
        <w:lastRenderedPageBreak/>
        <w:t>Altus Non-Production Environment</w:t>
      </w:r>
      <w:bookmarkEnd w:id="2"/>
    </w:p>
    <w:p w14:paraId="2342DDB1" w14:textId="77777777" w:rsidR="00014028" w:rsidRDefault="00014028" w:rsidP="00014028">
      <w:r w:rsidRPr="00014028">
        <w:t>The Altus implementation will be delivered across three primary environments within the client’s Microsoft 365 tenant: Development, Test, and Production. Each environment serves a specific purpose in the deployment lifecycle, helping to ensure that configuration, migration activities, and validation are carried out in a controlled and structured manner before the solution is made available to end users.</w:t>
      </w:r>
    </w:p>
    <w:p w14:paraId="39971227" w14:textId="4CFD0F5A" w:rsidR="00014028" w:rsidRDefault="00014028" w:rsidP="00014028">
      <w:r w:rsidRPr="00014028">
        <w:t>Using this staged approach allows the implementation team to safely configure and validate the Altus solution, migrate and verify project data, and enable client stakeholders to conduct testing before the system is released for operational use. This environment structure reduces risk, supports quality assurance, and ensures that the Production environment remains stable and ready for business use at go-live.</w:t>
      </w:r>
    </w:p>
    <w:p w14:paraId="5ABCC8E9" w14:textId="15C82098" w:rsidR="00E2205A" w:rsidRDefault="00E2205A" w:rsidP="002170B5">
      <w:pPr>
        <w:pStyle w:val="Heading3"/>
      </w:pPr>
      <w:bookmarkStart w:id="3" w:name="_Toc224750390"/>
      <w:r>
        <w:t>Altus Development Environment</w:t>
      </w:r>
      <w:bookmarkEnd w:id="3"/>
    </w:p>
    <w:p w14:paraId="699E585C" w14:textId="49684954" w:rsidR="00E2205A" w:rsidRDefault="00E2205A" w:rsidP="00014028">
      <w:r w:rsidRPr="00E2205A">
        <w:t>The Development environment is used by the implementation team to deploy and configure the Altus solution within the client’s Microsoft 365 tenant. This environment is used for solution configuration, migration preparation, testing of configuration changes, and validation of integrations or customisations before they are promoted to later environments. It provides a safe working space where changes can be made without impacting user testing or live operations.</w:t>
      </w:r>
    </w:p>
    <w:p w14:paraId="4A6B4BC3" w14:textId="1BE7E9F3" w:rsidR="00E2205A" w:rsidRDefault="00E2205A" w:rsidP="002170B5">
      <w:pPr>
        <w:pStyle w:val="Heading3"/>
      </w:pPr>
      <w:bookmarkStart w:id="4" w:name="_Toc224750391"/>
      <w:r>
        <w:t>Altus Test Environment</w:t>
      </w:r>
      <w:bookmarkEnd w:id="4"/>
    </w:p>
    <w:p w14:paraId="3A52FFB4" w14:textId="66D04F07" w:rsidR="00DB4B6D" w:rsidRPr="00DB4B6D" w:rsidRDefault="00DB4B6D" w:rsidP="00DB4B6D">
      <w:r w:rsidRPr="00DB4B6D">
        <w:t>The Test environment is used to validate that the Altus solution configuration and migrated data operate as expected before being released to production. This environment is typically used for system testing and User Acceptance Testing (UAT) by nominated client stakeholders. It provides a controlled environment that mirrors production as closely as possible, allowing users to verify functionality, confirm business processes, and identify any issues prior to go-live</w:t>
      </w:r>
    </w:p>
    <w:p w14:paraId="40BB90E7" w14:textId="043A1D78" w:rsidR="00E2205A" w:rsidRDefault="00E2205A" w:rsidP="002170B5">
      <w:pPr>
        <w:pStyle w:val="Heading3"/>
      </w:pPr>
      <w:bookmarkStart w:id="5" w:name="_Toc224750392"/>
      <w:r>
        <w:t>Altus Production Environment</w:t>
      </w:r>
      <w:bookmarkEnd w:id="5"/>
    </w:p>
    <w:p w14:paraId="1860C335" w14:textId="723FF586" w:rsidR="00DB4B6D" w:rsidRPr="00DB4B6D" w:rsidRDefault="00DB4B6D" w:rsidP="00DB4B6D">
      <w:r w:rsidRPr="00DB4B6D">
        <w:t>The Production environment is the live operational environment where the Altus solution is used by the organisation’s end users to manage projects, portfolios, and related processes. Following successful testing and approval, the configured solution and migrated data are deployed to this environment for ongoing business use. Changes to this environment are controlled through agreed governance processes to ensure system stability and data integrity.</w:t>
      </w:r>
    </w:p>
    <w:p w14:paraId="4CF8E3A1" w14:textId="2F5C35A9" w:rsidR="00845A5D" w:rsidRDefault="009F3277" w:rsidP="002170B5">
      <w:pPr>
        <w:pStyle w:val="Heading2"/>
      </w:pPr>
      <w:bookmarkStart w:id="6" w:name="_Toc224750393"/>
      <w:r>
        <w:t>Considerations</w:t>
      </w:r>
      <w:bookmarkEnd w:id="6"/>
    </w:p>
    <w:p w14:paraId="050B63A3" w14:textId="165D9B7B" w:rsidR="00124B5D" w:rsidRDefault="00124B5D" w:rsidP="00124B5D">
      <w:r>
        <w:t xml:space="preserve">The following considerations should be made </w:t>
      </w:r>
      <w:r w:rsidR="00C938E7">
        <w:t xml:space="preserve">during the testing </w:t>
      </w:r>
      <w:r w:rsidR="004D2D22">
        <w:t xml:space="preserve">phases of this project: </w:t>
      </w:r>
    </w:p>
    <w:tbl>
      <w:tblPr>
        <w:tblStyle w:val="SenseiTable"/>
        <w:tblW w:w="0" w:type="auto"/>
        <w:tblLook w:val="04A0" w:firstRow="1" w:lastRow="0" w:firstColumn="1" w:lastColumn="0" w:noHBand="0" w:noVBand="1"/>
      </w:tblPr>
      <w:tblGrid>
        <w:gridCol w:w="2832"/>
        <w:gridCol w:w="7624"/>
      </w:tblGrid>
      <w:tr w:rsidR="009E3CE7" w14:paraId="5893A86D" w14:textId="77777777" w:rsidTr="00C64A0C">
        <w:trPr>
          <w:cnfStyle w:val="100000000000" w:firstRow="1" w:lastRow="0" w:firstColumn="0" w:lastColumn="0" w:oddVBand="0" w:evenVBand="0" w:oddHBand="0" w:evenHBand="0" w:firstRowFirstColumn="0" w:firstRowLastColumn="0" w:lastRowFirstColumn="0" w:lastRowLastColumn="0"/>
          <w:tblHeader/>
        </w:trPr>
        <w:tc>
          <w:tcPr>
            <w:tcW w:w="2832" w:type="dxa"/>
          </w:tcPr>
          <w:p w14:paraId="1EEF3625" w14:textId="5464B5CD" w:rsidR="009E3CE7" w:rsidRDefault="009E3CE7" w:rsidP="00AB2153">
            <w:pPr>
              <w:jc w:val="left"/>
            </w:pPr>
            <w:r>
              <w:t>Consideration</w:t>
            </w:r>
          </w:p>
        </w:tc>
        <w:tc>
          <w:tcPr>
            <w:tcW w:w="7624" w:type="dxa"/>
          </w:tcPr>
          <w:p w14:paraId="59FCF6C4" w14:textId="5B436093" w:rsidR="009E3CE7" w:rsidRDefault="009E3CE7" w:rsidP="00AB2153">
            <w:pPr>
              <w:jc w:val="left"/>
            </w:pPr>
            <w:r>
              <w:t>Description</w:t>
            </w:r>
          </w:p>
        </w:tc>
      </w:tr>
      <w:tr w:rsidR="009E3CE7" w14:paraId="5E4975DB" w14:textId="77777777" w:rsidTr="009E3CE7">
        <w:trPr>
          <w:cnfStyle w:val="000000100000" w:firstRow="0" w:lastRow="0" w:firstColumn="0" w:lastColumn="0" w:oddVBand="0" w:evenVBand="0" w:oddHBand="1" w:evenHBand="0" w:firstRowFirstColumn="0" w:firstRowLastColumn="0" w:lastRowFirstColumn="0" w:lastRowLastColumn="0"/>
        </w:trPr>
        <w:tc>
          <w:tcPr>
            <w:tcW w:w="2832" w:type="dxa"/>
          </w:tcPr>
          <w:p w14:paraId="5442390C" w14:textId="77777777" w:rsidR="009E3CE7" w:rsidRPr="00121B8F" w:rsidRDefault="009E3CE7" w:rsidP="00AB2153">
            <w:pPr>
              <w:jc w:val="left"/>
              <w:rPr>
                <w:b/>
                <w:bCs/>
              </w:rPr>
            </w:pPr>
            <w:r w:rsidRPr="00121B8F">
              <w:rPr>
                <w:b/>
                <w:bCs/>
              </w:rPr>
              <w:t>Availability of key testers</w:t>
            </w:r>
          </w:p>
          <w:p w14:paraId="33B134AA" w14:textId="77777777" w:rsidR="009E3CE7" w:rsidRPr="00121B8F" w:rsidRDefault="009E3CE7" w:rsidP="00AB2153">
            <w:pPr>
              <w:jc w:val="left"/>
              <w:rPr>
                <w:b/>
                <w:bCs/>
              </w:rPr>
            </w:pPr>
          </w:p>
        </w:tc>
        <w:tc>
          <w:tcPr>
            <w:tcW w:w="7624" w:type="dxa"/>
          </w:tcPr>
          <w:p w14:paraId="303E3A25" w14:textId="79592D91" w:rsidR="009E3CE7" w:rsidRDefault="009E3CE7" w:rsidP="00AB2153">
            <w:pPr>
              <w:jc w:val="left"/>
            </w:pPr>
            <w:r>
              <w:t>The client should nominate appropriate business representatives (for example PMO administrators, project managers, and team members) to participate in testing. These individuals should be familiar with current processes and able to validate whether the system behaves as expected following the migration.</w:t>
            </w:r>
          </w:p>
        </w:tc>
      </w:tr>
      <w:tr w:rsidR="009E3CE7" w14:paraId="35E22537" w14:textId="77777777" w:rsidTr="009E3CE7">
        <w:trPr>
          <w:cnfStyle w:val="000000010000" w:firstRow="0" w:lastRow="0" w:firstColumn="0" w:lastColumn="0" w:oddVBand="0" w:evenVBand="0" w:oddHBand="0" w:evenHBand="1" w:firstRowFirstColumn="0" w:firstRowLastColumn="0" w:lastRowFirstColumn="0" w:lastRowLastColumn="0"/>
        </w:trPr>
        <w:tc>
          <w:tcPr>
            <w:tcW w:w="2832" w:type="dxa"/>
          </w:tcPr>
          <w:p w14:paraId="4696699F" w14:textId="5D0DD785" w:rsidR="009E3CE7" w:rsidRPr="00121B8F" w:rsidRDefault="00C64A0C" w:rsidP="00AB2153">
            <w:pPr>
              <w:jc w:val="left"/>
              <w:rPr>
                <w:b/>
                <w:bCs/>
              </w:rPr>
            </w:pPr>
            <w:r w:rsidRPr="00121B8F">
              <w:rPr>
                <w:b/>
                <w:bCs/>
              </w:rPr>
              <w:t>Data validation</w:t>
            </w:r>
          </w:p>
        </w:tc>
        <w:tc>
          <w:tcPr>
            <w:tcW w:w="7624" w:type="dxa"/>
          </w:tcPr>
          <w:p w14:paraId="135EC617" w14:textId="0C0ACB4C" w:rsidR="009E3CE7" w:rsidRDefault="00C64A0C" w:rsidP="00AB2153">
            <w:pPr>
              <w:jc w:val="left"/>
            </w:pPr>
            <w:r>
              <w:t>Users should review a representative sample of migrated projects to confirm that key information has migrated correctly. This may include project schedules, project metadata fields, financial information, risks and issues, and supporting documentation where applicable.</w:t>
            </w:r>
          </w:p>
        </w:tc>
      </w:tr>
      <w:tr w:rsidR="00C64A0C" w14:paraId="4EC51110" w14:textId="77777777" w:rsidTr="009E3CE7">
        <w:trPr>
          <w:cnfStyle w:val="000000100000" w:firstRow="0" w:lastRow="0" w:firstColumn="0" w:lastColumn="0" w:oddVBand="0" w:evenVBand="0" w:oddHBand="1" w:evenHBand="0" w:firstRowFirstColumn="0" w:firstRowLastColumn="0" w:lastRowFirstColumn="0" w:lastRowLastColumn="0"/>
        </w:trPr>
        <w:tc>
          <w:tcPr>
            <w:tcW w:w="2832" w:type="dxa"/>
          </w:tcPr>
          <w:p w14:paraId="54DB20FD" w14:textId="113AD351" w:rsidR="00C64A0C" w:rsidRPr="00121B8F" w:rsidRDefault="00C64A0C" w:rsidP="00AB2153">
            <w:pPr>
              <w:jc w:val="left"/>
              <w:rPr>
                <w:b/>
                <w:bCs/>
              </w:rPr>
            </w:pPr>
            <w:r w:rsidRPr="00121B8F">
              <w:rPr>
                <w:b/>
                <w:bCs/>
              </w:rPr>
              <w:t>Security and access validation</w:t>
            </w:r>
          </w:p>
        </w:tc>
        <w:tc>
          <w:tcPr>
            <w:tcW w:w="7624" w:type="dxa"/>
          </w:tcPr>
          <w:p w14:paraId="758D74C1" w14:textId="1FB16761" w:rsidR="00C64A0C" w:rsidRDefault="00C64A0C" w:rsidP="00AB2153">
            <w:pPr>
              <w:jc w:val="left"/>
            </w:pPr>
            <w:r>
              <w:t xml:space="preserve">Testers should confirm that the correct users and groups have access to the appropriate areas of the system. This includes validating permissions for PMO administrators, project managers, and team members to ensure security roles and </w:t>
            </w:r>
            <w:r>
              <w:lastRenderedPageBreak/>
              <w:t xml:space="preserve">Dataverse access are functioning as </w:t>
            </w:r>
            <w:r w:rsidR="00D63271">
              <w:t>per the out of the box Altus security permissions assigned</w:t>
            </w:r>
            <w:r>
              <w:t>.</w:t>
            </w:r>
          </w:p>
        </w:tc>
      </w:tr>
      <w:tr w:rsidR="00C64A0C" w14:paraId="7328F692" w14:textId="77777777" w:rsidTr="009E3CE7">
        <w:trPr>
          <w:cnfStyle w:val="000000010000" w:firstRow="0" w:lastRow="0" w:firstColumn="0" w:lastColumn="0" w:oddVBand="0" w:evenVBand="0" w:oddHBand="0" w:evenHBand="1" w:firstRowFirstColumn="0" w:firstRowLastColumn="0" w:lastRowFirstColumn="0" w:lastRowLastColumn="0"/>
        </w:trPr>
        <w:tc>
          <w:tcPr>
            <w:tcW w:w="2832" w:type="dxa"/>
          </w:tcPr>
          <w:p w14:paraId="1AA1D2CB" w14:textId="32669D6E" w:rsidR="00C64A0C" w:rsidRPr="00121B8F" w:rsidRDefault="00C64A0C" w:rsidP="00AB2153">
            <w:pPr>
              <w:jc w:val="left"/>
              <w:rPr>
                <w:b/>
                <w:bCs/>
              </w:rPr>
            </w:pPr>
            <w:r w:rsidRPr="00121B8F">
              <w:rPr>
                <w:b/>
                <w:bCs/>
              </w:rPr>
              <w:lastRenderedPageBreak/>
              <w:t>Testing of integrations and add-ins</w:t>
            </w:r>
          </w:p>
        </w:tc>
        <w:tc>
          <w:tcPr>
            <w:tcW w:w="7624" w:type="dxa"/>
          </w:tcPr>
          <w:p w14:paraId="4D208206" w14:textId="0AEA8DE6" w:rsidR="00C64A0C" w:rsidRDefault="00C64A0C" w:rsidP="00AB2153">
            <w:pPr>
              <w:jc w:val="left"/>
            </w:pPr>
            <w:r>
              <w:t xml:space="preserve">Where applicable, users should confirm that supporting tools such as the Altus for Project Desktop add-in, </w:t>
            </w:r>
            <w:r w:rsidR="00B21BE1">
              <w:t xml:space="preserve">Altus for Teams and </w:t>
            </w:r>
            <w:r>
              <w:t>Power BI reporting operate correctly with the migrated data and configured solution.</w:t>
            </w:r>
          </w:p>
        </w:tc>
      </w:tr>
      <w:tr w:rsidR="00B03B9D" w14:paraId="45D92E14" w14:textId="77777777" w:rsidTr="009E3CE7">
        <w:trPr>
          <w:cnfStyle w:val="000000100000" w:firstRow="0" w:lastRow="0" w:firstColumn="0" w:lastColumn="0" w:oddVBand="0" w:evenVBand="0" w:oddHBand="1" w:evenHBand="0" w:firstRowFirstColumn="0" w:firstRowLastColumn="0" w:lastRowFirstColumn="0" w:lastRowLastColumn="0"/>
        </w:trPr>
        <w:tc>
          <w:tcPr>
            <w:tcW w:w="2832" w:type="dxa"/>
          </w:tcPr>
          <w:p w14:paraId="53CC1724" w14:textId="3DD47856" w:rsidR="00B03B9D" w:rsidRPr="00121B8F" w:rsidRDefault="00B03B9D" w:rsidP="00AB2153">
            <w:pPr>
              <w:jc w:val="left"/>
              <w:rPr>
                <w:b/>
                <w:bCs/>
              </w:rPr>
            </w:pPr>
            <w:r w:rsidRPr="00121B8F">
              <w:rPr>
                <w:b/>
                <w:bCs/>
              </w:rPr>
              <w:t>Change freeze during testing</w:t>
            </w:r>
          </w:p>
        </w:tc>
        <w:tc>
          <w:tcPr>
            <w:tcW w:w="7624" w:type="dxa"/>
          </w:tcPr>
          <w:p w14:paraId="57A090A0" w14:textId="796C332D" w:rsidR="00B03B9D" w:rsidRDefault="00B03B9D" w:rsidP="00AB2153">
            <w:pPr>
              <w:jc w:val="left"/>
            </w:pPr>
            <w:r>
              <w:t>To maintain a stable testing environment, a temporary change freeze should be applied during the UAT period. This ensures testers are validating a consistent configuration and avoids introducing new changes that could affect testing outcomes.</w:t>
            </w:r>
          </w:p>
        </w:tc>
      </w:tr>
      <w:tr w:rsidR="00ED7A99" w14:paraId="311A98AC" w14:textId="77777777" w:rsidTr="009E3CE7">
        <w:trPr>
          <w:cnfStyle w:val="000000010000" w:firstRow="0" w:lastRow="0" w:firstColumn="0" w:lastColumn="0" w:oddVBand="0" w:evenVBand="0" w:oddHBand="0" w:evenHBand="1" w:firstRowFirstColumn="0" w:firstRowLastColumn="0" w:lastRowFirstColumn="0" w:lastRowLastColumn="0"/>
        </w:trPr>
        <w:tc>
          <w:tcPr>
            <w:tcW w:w="2832" w:type="dxa"/>
          </w:tcPr>
          <w:p w14:paraId="14C25B4B" w14:textId="320CA514" w:rsidR="00ED7A99" w:rsidRPr="00121B8F" w:rsidRDefault="00ED7A99" w:rsidP="00AB2153">
            <w:pPr>
              <w:jc w:val="left"/>
              <w:rPr>
                <w:b/>
                <w:bCs/>
              </w:rPr>
            </w:pPr>
            <w:r w:rsidRPr="00121B8F">
              <w:rPr>
                <w:b/>
                <w:bCs/>
              </w:rPr>
              <w:t xml:space="preserve">Test </w:t>
            </w:r>
            <w:r w:rsidR="00F11E9C" w:rsidRPr="00121B8F">
              <w:rPr>
                <w:b/>
                <w:bCs/>
              </w:rPr>
              <w:t>cases documentation</w:t>
            </w:r>
          </w:p>
        </w:tc>
        <w:tc>
          <w:tcPr>
            <w:tcW w:w="7624" w:type="dxa"/>
          </w:tcPr>
          <w:p w14:paraId="7F350C02" w14:textId="13D41379" w:rsidR="00ED7A99" w:rsidRPr="00F11E9C" w:rsidRDefault="00F11E9C" w:rsidP="00F11E9C">
            <w:pPr>
              <w:jc w:val="left"/>
              <w:rPr>
                <w:b/>
                <w:bCs/>
              </w:rPr>
            </w:pPr>
            <w:r w:rsidRPr="00F11E9C">
              <w:t>Creation of UAT test cases to cover functionality and business specific requirements</w:t>
            </w:r>
            <w:r>
              <w:t xml:space="preserve"> is not in scope f</w:t>
            </w:r>
            <w:r w:rsidR="00EF77E0">
              <w:t>or</w:t>
            </w:r>
            <w:r>
              <w:t xml:space="preserve"> this project</w:t>
            </w:r>
            <w:r w:rsidRPr="00F11E9C">
              <w:t>. UAT is the responsibility of the Client to execute including developing end to end testcases and datasets for all required test types (functional and non-functional).</w:t>
            </w:r>
          </w:p>
        </w:tc>
      </w:tr>
      <w:tr w:rsidR="00534677" w14:paraId="47F8CA7C" w14:textId="77777777" w:rsidTr="009E3CE7">
        <w:trPr>
          <w:cnfStyle w:val="000000100000" w:firstRow="0" w:lastRow="0" w:firstColumn="0" w:lastColumn="0" w:oddVBand="0" w:evenVBand="0" w:oddHBand="1" w:evenHBand="0" w:firstRowFirstColumn="0" w:firstRowLastColumn="0" w:lastRowFirstColumn="0" w:lastRowLastColumn="0"/>
        </w:trPr>
        <w:tc>
          <w:tcPr>
            <w:tcW w:w="2832" w:type="dxa"/>
          </w:tcPr>
          <w:p w14:paraId="43A859FB" w14:textId="65199A8B" w:rsidR="00534677" w:rsidRPr="00121B8F" w:rsidRDefault="00534677" w:rsidP="00AB2153">
            <w:pPr>
              <w:jc w:val="left"/>
              <w:rPr>
                <w:b/>
                <w:bCs/>
              </w:rPr>
            </w:pPr>
            <w:r w:rsidRPr="00121B8F">
              <w:rPr>
                <w:b/>
                <w:bCs/>
              </w:rPr>
              <w:t>Client Specific Documentation</w:t>
            </w:r>
          </w:p>
        </w:tc>
        <w:tc>
          <w:tcPr>
            <w:tcW w:w="7624" w:type="dxa"/>
          </w:tcPr>
          <w:p w14:paraId="2C90BEE9" w14:textId="4023C361" w:rsidR="00534677" w:rsidRPr="00F11E9C" w:rsidRDefault="00534677" w:rsidP="00F11E9C">
            <w:pPr>
              <w:jc w:val="left"/>
            </w:pPr>
            <w:r w:rsidRPr="00534677">
              <w:t>Any additional test or client specific documentation above what is already specified in the statement of work/description of services is out of scope for this engagement.</w:t>
            </w:r>
          </w:p>
        </w:tc>
      </w:tr>
    </w:tbl>
    <w:p w14:paraId="344A6854" w14:textId="77777777" w:rsidR="009E3CE7" w:rsidRPr="00124B5D" w:rsidRDefault="009E3CE7" w:rsidP="00124B5D"/>
    <w:p w14:paraId="1DD98D47" w14:textId="25173353" w:rsidR="00576530" w:rsidRDefault="00576530" w:rsidP="002170B5">
      <w:pPr>
        <w:pStyle w:val="Heading2"/>
      </w:pPr>
      <w:bookmarkStart w:id="7" w:name="_Toc224750394"/>
      <w:r>
        <w:t xml:space="preserve">Test </w:t>
      </w:r>
      <w:r w:rsidR="00257AC9">
        <w:t>Stages</w:t>
      </w:r>
      <w:bookmarkEnd w:id="7"/>
    </w:p>
    <w:tbl>
      <w:tblPr>
        <w:tblStyle w:val="SenseiTable"/>
        <w:tblW w:w="0" w:type="auto"/>
        <w:tblLook w:val="04A0" w:firstRow="1" w:lastRow="0" w:firstColumn="1" w:lastColumn="0" w:noHBand="0" w:noVBand="1"/>
      </w:tblPr>
      <w:tblGrid>
        <w:gridCol w:w="1646"/>
        <w:gridCol w:w="8814"/>
      </w:tblGrid>
      <w:tr w:rsidR="00121B8F" w14:paraId="695BAD94" w14:textId="77777777" w:rsidTr="00121B8F">
        <w:trPr>
          <w:cnfStyle w:val="100000000000" w:firstRow="1" w:lastRow="0" w:firstColumn="0" w:lastColumn="0" w:oddVBand="0" w:evenVBand="0" w:oddHBand="0" w:evenHBand="0" w:firstRowFirstColumn="0" w:firstRowLastColumn="0" w:lastRowFirstColumn="0" w:lastRowLastColumn="0"/>
          <w:tblHeader/>
        </w:trPr>
        <w:tc>
          <w:tcPr>
            <w:tcW w:w="0" w:type="auto"/>
          </w:tcPr>
          <w:p w14:paraId="133E6C9F" w14:textId="0985D869" w:rsidR="00121B8F" w:rsidRDefault="00121B8F" w:rsidP="00E57543">
            <w:r>
              <w:t>Activity</w:t>
            </w:r>
          </w:p>
        </w:tc>
        <w:tc>
          <w:tcPr>
            <w:tcW w:w="0" w:type="auto"/>
          </w:tcPr>
          <w:p w14:paraId="5CD9BFF0" w14:textId="084BAC6C" w:rsidR="00121B8F" w:rsidRDefault="00121B8F" w:rsidP="00E57543">
            <w:r>
              <w:t>Description</w:t>
            </w:r>
          </w:p>
        </w:tc>
      </w:tr>
      <w:tr w:rsidR="00121B8F" w14:paraId="0EDB8248" w14:textId="77777777" w:rsidTr="00121B8F">
        <w:trPr>
          <w:cnfStyle w:val="000000100000" w:firstRow="0" w:lastRow="0" w:firstColumn="0" w:lastColumn="0" w:oddVBand="0" w:evenVBand="0" w:oddHBand="1" w:evenHBand="0" w:firstRowFirstColumn="0" w:firstRowLastColumn="0" w:lastRowFirstColumn="0" w:lastRowLastColumn="0"/>
        </w:trPr>
        <w:tc>
          <w:tcPr>
            <w:tcW w:w="0" w:type="auto"/>
          </w:tcPr>
          <w:p w14:paraId="7D1EEADE" w14:textId="225467E7" w:rsidR="00121B8F" w:rsidRPr="00121B8F" w:rsidRDefault="00121B8F" w:rsidP="0057528D">
            <w:pPr>
              <w:jc w:val="left"/>
              <w:rPr>
                <w:b/>
                <w:bCs/>
              </w:rPr>
            </w:pPr>
            <w:r w:rsidRPr="00121B8F">
              <w:rPr>
                <w:b/>
                <w:bCs/>
              </w:rPr>
              <w:t>Ad-hoc Unit Testing</w:t>
            </w:r>
          </w:p>
        </w:tc>
        <w:tc>
          <w:tcPr>
            <w:tcW w:w="0" w:type="auto"/>
          </w:tcPr>
          <w:p w14:paraId="26253A44" w14:textId="4631D93E" w:rsidR="00121B8F" w:rsidRDefault="00121B8F" w:rsidP="0057528D">
            <w:pPr>
              <w:jc w:val="left"/>
            </w:pPr>
            <w:r w:rsidRPr="007042FF">
              <w:t>Targeted testing performed by the implementation team throughout the configuration and migration process to validate that individual solution components are functioning as expected. This includes verifying configuration settings, data integrity following migration activities, integrations, security roles, and key functional areas within the Altus solution before the system is made available for broader user testing.</w:t>
            </w:r>
          </w:p>
        </w:tc>
      </w:tr>
      <w:tr w:rsidR="00121B8F" w14:paraId="709DDDE6" w14:textId="77777777" w:rsidTr="00121B8F">
        <w:trPr>
          <w:cnfStyle w:val="000000010000" w:firstRow="0" w:lastRow="0" w:firstColumn="0" w:lastColumn="0" w:oddVBand="0" w:evenVBand="0" w:oddHBand="0" w:evenHBand="1" w:firstRowFirstColumn="0" w:firstRowLastColumn="0" w:lastRowFirstColumn="0" w:lastRowLastColumn="0"/>
        </w:trPr>
        <w:tc>
          <w:tcPr>
            <w:tcW w:w="0" w:type="auto"/>
          </w:tcPr>
          <w:p w14:paraId="66A8161B" w14:textId="434D323A" w:rsidR="00121B8F" w:rsidRPr="00121B8F" w:rsidRDefault="00121B8F" w:rsidP="0057528D">
            <w:pPr>
              <w:jc w:val="left"/>
              <w:rPr>
                <w:b/>
                <w:bCs/>
              </w:rPr>
            </w:pPr>
            <w:r w:rsidRPr="00121B8F">
              <w:rPr>
                <w:b/>
                <w:bCs/>
              </w:rPr>
              <w:t>Final System UAT</w:t>
            </w:r>
          </w:p>
        </w:tc>
        <w:tc>
          <w:tcPr>
            <w:tcW w:w="0" w:type="auto"/>
          </w:tcPr>
          <w:p w14:paraId="59650A3C" w14:textId="370455A0" w:rsidR="00121B8F" w:rsidRDefault="00121B8F" w:rsidP="0057528D">
            <w:pPr>
              <w:ind w:right="71" w:firstLine="10"/>
              <w:jc w:val="left"/>
            </w:pPr>
            <w:r w:rsidRPr="00774EAD">
              <w:t>A 3-day cycle of User Acceptance Testing (UAT) to be conducted by the Client immediately following the completion of the data migration. During this period, nominated client representatives will validate that the migrated data, configured functionality, and key business processes operate as expected within the Altus solution. It is mutually agreed that a change freeze will be in effect during this period to limit scope creep and ensure testing is conducted against a stable system baseline.</w:t>
            </w:r>
          </w:p>
        </w:tc>
      </w:tr>
      <w:tr w:rsidR="00121B8F" w14:paraId="500FA81A" w14:textId="77777777" w:rsidTr="00121B8F">
        <w:trPr>
          <w:cnfStyle w:val="000000100000" w:firstRow="0" w:lastRow="0" w:firstColumn="0" w:lastColumn="0" w:oddVBand="0" w:evenVBand="0" w:oddHBand="1" w:evenHBand="0" w:firstRowFirstColumn="0" w:firstRowLastColumn="0" w:lastRowFirstColumn="0" w:lastRowLastColumn="0"/>
        </w:trPr>
        <w:tc>
          <w:tcPr>
            <w:tcW w:w="0" w:type="auto"/>
          </w:tcPr>
          <w:p w14:paraId="00C9CDD0" w14:textId="36831AC3" w:rsidR="00121B8F" w:rsidRPr="00121B8F" w:rsidRDefault="00121B8F" w:rsidP="0057528D">
            <w:pPr>
              <w:jc w:val="left"/>
              <w:rPr>
                <w:b/>
                <w:bCs/>
              </w:rPr>
            </w:pPr>
            <w:r w:rsidRPr="00121B8F">
              <w:rPr>
                <w:b/>
                <w:bCs/>
              </w:rPr>
              <w:t>Priority Support Period (Post Go-Live)</w:t>
            </w:r>
          </w:p>
        </w:tc>
        <w:tc>
          <w:tcPr>
            <w:tcW w:w="0" w:type="auto"/>
          </w:tcPr>
          <w:p w14:paraId="58E9672C" w14:textId="678128E9" w:rsidR="00121B8F" w:rsidRDefault="00121B8F" w:rsidP="0057528D">
            <w:pPr>
              <w:jc w:val="left"/>
            </w:pPr>
            <w:r w:rsidRPr="00774EAD">
              <w:t>A one-week priority support period commencing on the agreed production go-live date. During this time, the implementation team will prioritise the investigation and resolution of issues reasonably attributed to the data migration or solution deployment. All items logged within this period will be actioned and responded to as efficiently as practically possible, even if the resolution of those items extends beyond the one-week period. Issues raised after this support window may require additional effort and associated fees to investigate and resolve.</w:t>
            </w:r>
          </w:p>
        </w:tc>
      </w:tr>
    </w:tbl>
    <w:p w14:paraId="662479F2" w14:textId="77777777" w:rsidR="00E57543" w:rsidRPr="00E57543" w:rsidRDefault="00E57543" w:rsidP="00E57543"/>
    <w:p w14:paraId="255FB62C" w14:textId="12067C41" w:rsidR="002B77C8" w:rsidRDefault="00CC0010" w:rsidP="002170B5">
      <w:pPr>
        <w:pStyle w:val="Heading2"/>
      </w:pPr>
      <w:bookmarkStart w:id="8" w:name="_Ref224636914"/>
      <w:bookmarkStart w:id="9" w:name="_Toc224750395"/>
      <w:r>
        <w:t xml:space="preserve">Issue </w:t>
      </w:r>
      <w:r w:rsidR="00583C40">
        <w:t>Priority</w:t>
      </w:r>
      <w:r w:rsidR="002B77C8">
        <w:t xml:space="preserve"> Definitions</w:t>
      </w:r>
      <w:bookmarkEnd w:id="8"/>
      <w:bookmarkEnd w:id="9"/>
    </w:p>
    <w:p w14:paraId="7ED3A5B3" w14:textId="3785204F" w:rsidR="00583C40" w:rsidRDefault="004C5C1A" w:rsidP="00583C40">
      <w:r>
        <w:t xml:space="preserve">Below </w:t>
      </w:r>
      <w:proofErr w:type="gramStart"/>
      <w:r>
        <w:t>is</w:t>
      </w:r>
      <w:proofErr w:type="gramEnd"/>
      <w:r>
        <w:t xml:space="preserve"> a description of the Issue Priorit</w:t>
      </w:r>
      <w:r w:rsidR="00135A1C">
        <w:t>y options</w:t>
      </w:r>
      <w:r>
        <w:t xml:space="preserve"> and their definitions:</w:t>
      </w:r>
    </w:p>
    <w:tbl>
      <w:tblPr>
        <w:tblStyle w:val="SenseiTable"/>
        <w:tblW w:w="0" w:type="auto"/>
        <w:tblLook w:val="04A0" w:firstRow="1" w:lastRow="0" w:firstColumn="1" w:lastColumn="0" w:noHBand="0" w:noVBand="1"/>
      </w:tblPr>
      <w:tblGrid>
        <w:gridCol w:w="1864"/>
        <w:gridCol w:w="8596"/>
      </w:tblGrid>
      <w:tr w:rsidR="00583C40" w14:paraId="3BA0991F" w14:textId="77777777" w:rsidTr="004A7ED8">
        <w:trPr>
          <w:cnfStyle w:val="100000000000" w:firstRow="1" w:lastRow="0" w:firstColumn="0" w:lastColumn="0" w:oddVBand="0" w:evenVBand="0" w:oddHBand="0" w:evenHBand="0" w:firstRowFirstColumn="0" w:firstRowLastColumn="0" w:lastRowFirstColumn="0" w:lastRowLastColumn="0"/>
          <w:tblHeader/>
        </w:trPr>
        <w:tc>
          <w:tcPr>
            <w:tcW w:w="2407" w:type="dxa"/>
          </w:tcPr>
          <w:p w14:paraId="0DE93D23" w14:textId="51E6B154" w:rsidR="00583C40" w:rsidRDefault="00583C40" w:rsidP="00583C40">
            <w:r>
              <w:lastRenderedPageBreak/>
              <w:t>Priority</w:t>
            </w:r>
          </w:p>
        </w:tc>
        <w:tc>
          <w:tcPr>
            <w:tcW w:w="12981" w:type="dxa"/>
          </w:tcPr>
          <w:p w14:paraId="47DB1AD1" w14:textId="008CA581" w:rsidR="00583C40" w:rsidRDefault="00583C40" w:rsidP="00583C40">
            <w:pPr>
              <w:jc w:val="center"/>
            </w:pPr>
            <w:r>
              <w:t>Description</w:t>
            </w:r>
          </w:p>
        </w:tc>
      </w:tr>
      <w:tr w:rsidR="00583C40" w14:paraId="67A203DB" w14:textId="77777777" w:rsidTr="00A9319B">
        <w:trPr>
          <w:cnfStyle w:val="000000100000" w:firstRow="0" w:lastRow="0" w:firstColumn="0" w:lastColumn="0" w:oddVBand="0" w:evenVBand="0" w:oddHBand="1" w:evenHBand="0" w:firstRowFirstColumn="0" w:firstRowLastColumn="0" w:lastRowFirstColumn="0" w:lastRowLastColumn="0"/>
        </w:trPr>
        <w:tc>
          <w:tcPr>
            <w:tcW w:w="2407" w:type="dxa"/>
            <w:shd w:val="clear" w:color="auto" w:fill="C00000"/>
            <w:vAlign w:val="center"/>
          </w:tcPr>
          <w:p w14:paraId="1B1F01E5" w14:textId="0CD59E22" w:rsidR="00583C40" w:rsidRPr="007A5752" w:rsidRDefault="00583C40" w:rsidP="00A9319B">
            <w:pPr>
              <w:jc w:val="center"/>
              <w:rPr>
                <w:b/>
                <w:bCs/>
              </w:rPr>
            </w:pPr>
            <w:r w:rsidRPr="007A5752">
              <w:rPr>
                <w:b/>
                <w:bCs/>
              </w:rPr>
              <w:t>Critical</w:t>
            </w:r>
          </w:p>
        </w:tc>
        <w:tc>
          <w:tcPr>
            <w:tcW w:w="12981" w:type="dxa"/>
          </w:tcPr>
          <w:p w14:paraId="0F987A8C" w14:textId="1F82D9BD" w:rsidR="00583C40" w:rsidRDefault="00EB754F" w:rsidP="00583C40">
            <w:r w:rsidRPr="00EB754F">
              <w:t xml:space="preserve">A critical issue is one that prevents the system from </w:t>
            </w:r>
            <w:r w:rsidR="0088073B" w:rsidRPr="00EB754F">
              <w:t>operating,</w:t>
            </w:r>
            <w:r w:rsidRPr="00EB754F">
              <w:t xml:space="preserve"> or blocks core functionality required for go-live or ongoing business operations. This type of issue typically affects </w:t>
            </w:r>
            <w:r w:rsidR="0088073B" w:rsidRPr="00EB754F">
              <w:t>many</w:t>
            </w:r>
            <w:r w:rsidRPr="00EB754F">
              <w:t xml:space="preserve"> users or prevents key Altus capabilities from functioning, such as the inability to access the system, failure of the data migration, or major data integrity problems. Critical issues require immediate investigation and resolution and may delay testing completion or go-live until resolved.</w:t>
            </w:r>
          </w:p>
        </w:tc>
      </w:tr>
      <w:tr w:rsidR="00583C40" w14:paraId="35A56917" w14:textId="77777777" w:rsidTr="00A9319B">
        <w:trPr>
          <w:cnfStyle w:val="000000010000" w:firstRow="0" w:lastRow="0" w:firstColumn="0" w:lastColumn="0" w:oddVBand="0" w:evenVBand="0" w:oddHBand="0" w:evenHBand="1" w:firstRowFirstColumn="0" w:firstRowLastColumn="0" w:lastRowFirstColumn="0" w:lastRowLastColumn="0"/>
        </w:trPr>
        <w:tc>
          <w:tcPr>
            <w:tcW w:w="2407" w:type="dxa"/>
            <w:shd w:val="clear" w:color="auto" w:fill="FFC000"/>
            <w:vAlign w:val="center"/>
          </w:tcPr>
          <w:p w14:paraId="37C20B49" w14:textId="5BCAC942" w:rsidR="00583C40" w:rsidRPr="007A5752" w:rsidRDefault="00583C40" w:rsidP="00A9319B">
            <w:pPr>
              <w:jc w:val="center"/>
              <w:rPr>
                <w:b/>
                <w:bCs/>
              </w:rPr>
            </w:pPr>
            <w:r w:rsidRPr="007A5752">
              <w:rPr>
                <w:b/>
                <w:bCs/>
              </w:rPr>
              <w:t>High</w:t>
            </w:r>
          </w:p>
        </w:tc>
        <w:tc>
          <w:tcPr>
            <w:tcW w:w="12981" w:type="dxa"/>
          </w:tcPr>
          <w:p w14:paraId="2A37B19C" w14:textId="6A9FBA50" w:rsidR="00583C40" w:rsidRDefault="00A9319B" w:rsidP="00583C40">
            <w:r w:rsidRPr="00A9319B">
              <w:t>A high priority issue significantly impacts important functionality but does not completely prevent the system from operating. These issues may affect specific business processes, user roles, or areas of the solution, such as incorrect behaviour in key configuration areas, issues with project schedule interaction, or problems with reporting or integrations. High priority issues should be addressed as soon as possible during the implementation or testing cycle to minimise disruption</w:t>
            </w:r>
            <w:r>
              <w:t>.</w:t>
            </w:r>
          </w:p>
        </w:tc>
      </w:tr>
      <w:tr w:rsidR="00583C40" w14:paraId="7B9B5B21" w14:textId="77777777" w:rsidTr="00A9319B">
        <w:trPr>
          <w:cnfStyle w:val="000000100000" w:firstRow="0" w:lastRow="0" w:firstColumn="0" w:lastColumn="0" w:oddVBand="0" w:evenVBand="0" w:oddHBand="1" w:evenHBand="0" w:firstRowFirstColumn="0" w:firstRowLastColumn="0" w:lastRowFirstColumn="0" w:lastRowLastColumn="0"/>
        </w:trPr>
        <w:tc>
          <w:tcPr>
            <w:tcW w:w="2407" w:type="dxa"/>
            <w:shd w:val="clear" w:color="auto" w:fill="FFFF00"/>
            <w:vAlign w:val="center"/>
          </w:tcPr>
          <w:p w14:paraId="011724D9" w14:textId="0AD20562" w:rsidR="00583C40" w:rsidRPr="007A5752" w:rsidRDefault="00583C40" w:rsidP="00A9319B">
            <w:pPr>
              <w:jc w:val="center"/>
              <w:rPr>
                <w:b/>
                <w:bCs/>
              </w:rPr>
            </w:pPr>
            <w:r w:rsidRPr="007A5752">
              <w:rPr>
                <w:b/>
                <w:bCs/>
              </w:rPr>
              <w:t>Normal</w:t>
            </w:r>
          </w:p>
        </w:tc>
        <w:tc>
          <w:tcPr>
            <w:tcW w:w="12981" w:type="dxa"/>
          </w:tcPr>
          <w:p w14:paraId="6FED3F1E" w14:textId="1CB52FB6" w:rsidR="00583C40" w:rsidRDefault="00A9319B" w:rsidP="00583C40">
            <w:r w:rsidRPr="00A9319B">
              <w:t>A normal priority issue represents a functional problem that has a moderate impact on usability but does not prevent users from continuing their work. These issues may involve non-critical configuration behaviour, minor data inconsistencies, or functionality that operates differently than expected but still allows the overall process to continue. These items are typically addressed as part of the standard issue resolution process.</w:t>
            </w:r>
          </w:p>
        </w:tc>
      </w:tr>
      <w:tr w:rsidR="00583C40" w14:paraId="3D6BDC06" w14:textId="77777777" w:rsidTr="00A9319B">
        <w:trPr>
          <w:cnfStyle w:val="000000010000" w:firstRow="0" w:lastRow="0" w:firstColumn="0" w:lastColumn="0" w:oddVBand="0" w:evenVBand="0" w:oddHBand="0" w:evenHBand="1" w:firstRowFirstColumn="0" w:firstRowLastColumn="0" w:lastRowFirstColumn="0" w:lastRowLastColumn="0"/>
        </w:trPr>
        <w:tc>
          <w:tcPr>
            <w:tcW w:w="2407" w:type="dxa"/>
            <w:shd w:val="clear" w:color="auto" w:fill="92D050"/>
            <w:vAlign w:val="center"/>
          </w:tcPr>
          <w:p w14:paraId="4BF34CF2" w14:textId="79A7AD34" w:rsidR="00583C40" w:rsidRPr="007A5752" w:rsidRDefault="00583C40" w:rsidP="00A9319B">
            <w:pPr>
              <w:jc w:val="center"/>
              <w:rPr>
                <w:b/>
                <w:bCs/>
              </w:rPr>
            </w:pPr>
            <w:r w:rsidRPr="007A5752">
              <w:rPr>
                <w:b/>
                <w:bCs/>
              </w:rPr>
              <w:t>Low</w:t>
            </w:r>
          </w:p>
        </w:tc>
        <w:tc>
          <w:tcPr>
            <w:tcW w:w="12981" w:type="dxa"/>
          </w:tcPr>
          <w:p w14:paraId="4FDBC6F1" w14:textId="5DC2EAB1" w:rsidR="00583C40" w:rsidRDefault="00A9319B" w:rsidP="00583C40">
            <w:r w:rsidRPr="00A9319B">
              <w:t>A low priority issue has minimal impact on system operation or business processes. These issues may include cosmetic display problems, minor usability concerns, documentation clarifications, or enhancement suggestions. Low priority items are typically recorded for later resolution or consideration in future configuration updates rather than requiring immediate action during the implementation period.</w:t>
            </w:r>
          </w:p>
        </w:tc>
      </w:tr>
    </w:tbl>
    <w:p w14:paraId="5169E25A" w14:textId="77777777" w:rsidR="00583C40" w:rsidRDefault="00583C40" w:rsidP="00583C40"/>
    <w:p w14:paraId="74C8C82E" w14:textId="2834CAF7" w:rsidR="00774F07" w:rsidRDefault="00774F07" w:rsidP="002170B5">
      <w:pPr>
        <w:pStyle w:val="Heading2"/>
      </w:pPr>
      <w:bookmarkStart w:id="10" w:name="_Ref224637245"/>
      <w:bookmarkStart w:id="11" w:name="_Toc224750396"/>
      <w:r>
        <w:t>Issue Status Definitions</w:t>
      </w:r>
      <w:bookmarkEnd w:id="10"/>
      <w:bookmarkEnd w:id="11"/>
    </w:p>
    <w:p w14:paraId="1DD64AA5" w14:textId="2E33C78E" w:rsidR="00774F07" w:rsidRPr="00774F07" w:rsidRDefault="00774F07" w:rsidP="00774F07">
      <w:r>
        <w:t xml:space="preserve">Below </w:t>
      </w:r>
      <w:proofErr w:type="gramStart"/>
      <w:r>
        <w:t>is</w:t>
      </w:r>
      <w:proofErr w:type="gramEnd"/>
      <w:r>
        <w:t xml:space="preserve"> a description of the Issue Status</w:t>
      </w:r>
      <w:r w:rsidR="00135A1C">
        <w:t xml:space="preserve"> options</w:t>
      </w:r>
      <w:r>
        <w:t xml:space="preserve"> and their definitions:</w:t>
      </w:r>
    </w:p>
    <w:tbl>
      <w:tblPr>
        <w:tblStyle w:val="SenseiTable"/>
        <w:tblW w:w="0" w:type="auto"/>
        <w:tblLook w:val="04A0" w:firstRow="1" w:lastRow="0" w:firstColumn="1" w:lastColumn="0" w:noHBand="0" w:noVBand="1"/>
      </w:tblPr>
      <w:tblGrid>
        <w:gridCol w:w="1937"/>
        <w:gridCol w:w="8523"/>
      </w:tblGrid>
      <w:tr w:rsidR="00774F07" w14:paraId="1FFD756A" w14:textId="77777777" w:rsidTr="009136CD">
        <w:trPr>
          <w:cnfStyle w:val="100000000000" w:firstRow="1" w:lastRow="0" w:firstColumn="0" w:lastColumn="0" w:oddVBand="0" w:evenVBand="0" w:oddHBand="0" w:evenHBand="0" w:firstRowFirstColumn="0" w:firstRowLastColumn="0" w:lastRowFirstColumn="0" w:lastRowLastColumn="0"/>
          <w:tblHeader/>
        </w:trPr>
        <w:tc>
          <w:tcPr>
            <w:tcW w:w="2407" w:type="dxa"/>
          </w:tcPr>
          <w:p w14:paraId="1A726CF4" w14:textId="77777777" w:rsidR="00774F07" w:rsidRDefault="00774F07" w:rsidP="009136CD">
            <w:r>
              <w:t>Priority</w:t>
            </w:r>
          </w:p>
        </w:tc>
        <w:tc>
          <w:tcPr>
            <w:tcW w:w="12981" w:type="dxa"/>
          </w:tcPr>
          <w:p w14:paraId="32CA8FDA" w14:textId="77777777" w:rsidR="00774F07" w:rsidRDefault="00774F07" w:rsidP="009136CD">
            <w:pPr>
              <w:jc w:val="center"/>
            </w:pPr>
            <w:r>
              <w:t>Description</w:t>
            </w:r>
          </w:p>
        </w:tc>
      </w:tr>
      <w:tr w:rsidR="00774F07" w14:paraId="63E3A4AD" w14:textId="77777777" w:rsidTr="008F6B56">
        <w:trPr>
          <w:cnfStyle w:val="000000100000" w:firstRow="0" w:lastRow="0" w:firstColumn="0" w:lastColumn="0" w:oddVBand="0" w:evenVBand="0" w:oddHBand="1" w:evenHBand="0" w:firstRowFirstColumn="0" w:firstRowLastColumn="0" w:lastRowFirstColumn="0" w:lastRowLastColumn="0"/>
        </w:trPr>
        <w:tc>
          <w:tcPr>
            <w:tcW w:w="2407" w:type="dxa"/>
            <w:shd w:val="clear" w:color="auto" w:fill="auto"/>
            <w:vAlign w:val="center"/>
          </w:tcPr>
          <w:p w14:paraId="598E2777" w14:textId="3EDB5AF5" w:rsidR="00774F07" w:rsidRPr="007A5752" w:rsidRDefault="008F6B56" w:rsidP="009136CD">
            <w:pPr>
              <w:jc w:val="center"/>
              <w:rPr>
                <w:b/>
                <w:bCs/>
              </w:rPr>
            </w:pPr>
            <w:r w:rsidRPr="007A5752">
              <w:rPr>
                <w:b/>
                <w:bCs/>
              </w:rPr>
              <w:t>New</w:t>
            </w:r>
          </w:p>
        </w:tc>
        <w:tc>
          <w:tcPr>
            <w:tcW w:w="12981" w:type="dxa"/>
          </w:tcPr>
          <w:p w14:paraId="3D8CF6C4" w14:textId="0FB4CBC7" w:rsidR="00774F07" w:rsidRDefault="006A6F33" w:rsidP="009136CD">
            <w:r w:rsidRPr="006A6F33">
              <w:t>The issue has been reviewed and is currently being investigated or actively worked on by the implementation team. Analysis, troubleshooting, or corrective actions are underway to determine the root cause and implement a resolution.</w:t>
            </w:r>
          </w:p>
        </w:tc>
      </w:tr>
      <w:tr w:rsidR="008F6B56" w14:paraId="797176B5" w14:textId="77777777" w:rsidTr="008F6B56">
        <w:trPr>
          <w:cnfStyle w:val="000000010000" w:firstRow="0" w:lastRow="0" w:firstColumn="0" w:lastColumn="0" w:oddVBand="0" w:evenVBand="0" w:oddHBand="0" w:evenHBand="1" w:firstRowFirstColumn="0" w:firstRowLastColumn="0" w:lastRowFirstColumn="0" w:lastRowLastColumn="0"/>
        </w:trPr>
        <w:tc>
          <w:tcPr>
            <w:tcW w:w="2407" w:type="dxa"/>
            <w:shd w:val="clear" w:color="auto" w:fill="auto"/>
            <w:vAlign w:val="center"/>
          </w:tcPr>
          <w:p w14:paraId="754D1D9A" w14:textId="76377D12" w:rsidR="008F6B56" w:rsidRPr="007A5752" w:rsidRDefault="008F6B56" w:rsidP="009136CD">
            <w:pPr>
              <w:jc w:val="center"/>
              <w:rPr>
                <w:b/>
                <w:bCs/>
              </w:rPr>
            </w:pPr>
            <w:r w:rsidRPr="007A5752">
              <w:rPr>
                <w:b/>
                <w:bCs/>
              </w:rPr>
              <w:t>In Progress</w:t>
            </w:r>
          </w:p>
        </w:tc>
        <w:tc>
          <w:tcPr>
            <w:tcW w:w="12981" w:type="dxa"/>
          </w:tcPr>
          <w:p w14:paraId="2A7584B9" w14:textId="1D2BB713" w:rsidR="008F6B56" w:rsidRDefault="00656702" w:rsidP="009136CD">
            <w:r w:rsidRPr="00656702">
              <w:t>The issue has been reviewed and is currently being investigated or actively worked on by the implementation team. Analysis, troubleshooting, or corrective actions are underway to determine the root cause and implement a resolution</w:t>
            </w:r>
          </w:p>
        </w:tc>
      </w:tr>
      <w:tr w:rsidR="000F2428" w14:paraId="2E38627A" w14:textId="77777777" w:rsidTr="008F6B56">
        <w:trPr>
          <w:cnfStyle w:val="000000100000" w:firstRow="0" w:lastRow="0" w:firstColumn="0" w:lastColumn="0" w:oddVBand="0" w:evenVBand="0" w:oddHBand="1" w:evenHBand="0" w:firstRowFirstColumn="0" w:firstRowLastColumn="0" w:lastRowFirstColumn="0" w:lastRowLastColumn="0"/>
        </w:trPr>
        <w:tc>
          <w:tcPr>
            <w:tcW w:w="2407" w:type="dxa"/>
            <w:shd w:val="clear" w:color="auto" w:fill="auto"/>
            <w:vAlign w:val="center"/>
          </w:tcPr>
          <w:p w14:paraId="136881A6" w14:textId="05B887C1" w:rsidR="000F2428" w:rsidRPr="007A5752" w:rsidRDefault="000F2428" w:rsidP="009136CD">
            <w:pPr>
              <w:jc w:val="center"/>
              <w:rPr>
                <w:b/>
                <w:bCs/>
              </w:rPr>
            </w:pPr>
            <w:r w:rsidRPr="007A5752">
              <w:rPr>
                <w:b/>
                <w:bCs/>
              </w:rPr>
              <w:t>Completed</w:t>
            </w:r>
          </w:p>
        </w:tc>
        <w:tc>
          <w:tcPr>
            <w:tcW w:w="12981" w:type="dxa"/>
          </w:tcPr>
          <w:p w14:paraId="2B426C10" w14:textId="5E36E194" w:rsidR="000F2428" w:rsidRDefault="00656702" w:rsidP="009136CD">
            <w:r w:rsidRPr="00656702">
              <w:t>The issue has been resolved, and the required corrective action has been implemented. The fix has been validated by the implementation team and, where applicable, confirmed by the client that the issue no longer occurs.</w:t>
            </w:r>
          </w:p>
        </w:tc>
      </w:tr>
      <w:tr w:rsidR="000F2428" w14:paraId="0EBF420D" w14:textId="77777777" w:rsidTr="008F6B56">
        <w:trPr>
          <w:cnfStyle w:val="000000010000" w:firstRow="0" w:lastRow="0" w:firstColumn="0" w:lastColumn="0" w:oddVBand="0" w:evenVBand="0" w:oddHBand="0" w:evenHBand="1" w:firstRowFirstColumn="0" w:firstRowLastColumn="0" w:lastRowFirstColumn="0" w:lastRowLastColumn="0"/>
        </w:trPr>
        <w:tc>
          <w:tcPr>
            <w:tcW w:w="2407" w:type="dxa"/>
            <w:shd w:val="clear" w:color="auto" w:fill="auto"/>
            <w:vAlign w:val="center"/>
          </w:tcPr>
          <w:p w14:paraId="485DD9BB" w14:textId="4B28490C" w:rsidR="000F2428" w:rsidRPr="007A5752" w:rsidRDefault="000F2428" w:rsidP="009136CD">
            <w:pPr>
              <w:jc w:val="center"/>
              <w:rPr>
                <w:b/>
                <w:bCs/>
              </w:rPr>
            </w:pPr>
            <w:r w:rsidRPr="007A5752">
              <w:rPr>
                <w:b/>
                <w:bCs/>
              </w:rPr>
              <w:t>Blocked</w:t>
            </w:r>
          </w:p>
        </w:tc>
        <w:tc>
          <w:tcPr>
            <w:tcW w:w="12981" w:type="dxa"/>
          </w:tcPr>
          <w:p w14:paraId="5376C70E" w14:textId="443A8B26" w:rsidR="000F2428" w:rsidRDefault="00656702" w:rsidP="009136CD">
            <w:r w:rsidRPr="00656702">
              <w:t>Work on the issue cannot proceed due to a dependency or external factor preventing progress. This may include awaiting information, access, configuration changes, or decisions from the client or another party before investigation or resolution can continue.</w:t>
            </w:r>
          </w:p>
        </w:tc>
      </w:tr>
      <w:tr w:rsidR="000F2428" w14:paraId="3E05387F" w14:textId="77777777" w:rsidTr="008F6B56">
        <w:trPr>
          <w:cnfStyle w:val="000000100000" w:firstRow="0" w:lastRow="0" w:firstColumn="0" w:lastColumn="0" w:oddVBand="0" w:evenVBand="0" w:oddHBand="1" w:evenHBand="0" w:firstRowFirstColumn="0" w:firstRowLastColumn="0" w:lastRowFirstColumn="0" w:lastRowLastColumn="0"/>
        </w:trPr>
        <w:tc>
          <w:tcPr>
            <w:tcW w:w="2407" w:type="dxa"/>
            <w:shd w:val="clear" w:color="auto" w:fill="auto"/>
            <w:vAlign w:val="center"/>
          </w:tcPr>
          <w:p w14:paraId="296C4EA6" w14:textId="3E98767F" w:rsidR="000F2428" w:rsidRPr="007A5752" w:rsidRDefault="000F2428" w:rsidP="009136CD">
            <w:pPr>
              <w:jc w:val="center"/>
              <w:rPr>
                <w:b/>
                <w:bCs/>
              </w:rPr>
            </w:pPr>
            <w:r w:rsidRPr="007A5752">
              <w:rPr>
                <w:b/>
                <w:bCs/>
              </w:rPr>
              <w:lastRenderedPageBreak/>
              <w:t>Duplicate</w:t>
            </w:r>
          </w:p>
        </w:tc>
        <w:tc>
          <w:tcPr>
            <w:tcW w:w="12981" w:type="dxa"/>
          </w:tcPr>
          <w:p w14:paraId="3B12098D" w14:textId="7AEDDB94" w:rsidR="000F2428" w:rsidRDefault="00656702" w:rsidP="009136CD">
            <w:r w:rsidRPr="00656702">
              <w:t>The issue has been identified as a duplicate of another issue already logged in the issue register. The duplicate record is closed and linked to the original issue where the investigation and resolution will be managed.</w:t>
            </w:r>
          </w:p>
        </w:tc>
      </w:tr>
      <w:tr w:rsidR="000F2428" w14:paraId="1B5DB86A" w14:textId="77777777" w:rsidTr="008F6B56">
        <w:trPr>
          <w:cnfStyle w:val="000000010000" w:firstRow="0" w:lastRow="0" w:firstColumn="0" w:lastColumn="0" w:oddVBand="0" w:evenVBand="0" w:oddHBand="0" w:evenHBand="1" w:firstRowFirstColumn="0" w:firstRowLastColumn="0" w:lastRowFirstColumn="0" w:lastRowLastColumn="0"/>
        </w:trPr>
        <w:tc>
          <w:tcPr>
            <w:tcW w:w="2407" w:type="dxa"/>
            <w:shd w:val="clear" w:color="auto" w:fill="auto"/>
            <w:vAlign w:val="center"/>
          </w:tcPr>
          <w:p w14:paraId="5260ABCE" w14:textId="76EBD93C" w:rsidR="000F2428" w:rsidRPr="007A5752" w:rsidRDefault="000F2428" w:rsidP="009136CD">
            <w:pPr>
              <w:jc w:val="center"/>
              <w:rPr>
                <w:b/>
                <w:bCs/>
              </w:rPr>
            </w:pPr>
            <w:r w:rsidRPr="007A5752">
              <w:rPr>
                <w:b/>
                <w:bCs/>
              </w:rPr>
              <w:t>By Design</w:t>
            </w:r>
          </w:p>
        </w:tc>
        <w:tc>
          <w:tcPr>
            <w:tcW w:w="12981" w:type="dxa"/>
          </w:tcPr>
          <w:p w14:paraId="61ABEADB" w14:textId="7520016B" w:rsidR="000F2428" w:rsidRDefault="00FC1F34" w:rsidP="009136CD">
            <w:r w:rsidRPr="00FC1F34">
              <w:t>Following investigation, the behaviour reported has been confirmed as the intended or expected behaviour of the system. No corrective action is required as the functionality is operating according to the design of the Altus solution or the underlying Microsoft platform.</w:t>
            </w:r>
          </w:p>
        </w:tc>
      </w:tr>
      <w:tr w:rsidR="000F2428" w14:paraId="147605A2" w14:textId="77777777" w:rsidTr="008F6B56">
        <w:trPr>
          <w:cnfStyle w:val="000000100000" w:firstRow="0" w:lastRow="0" w:firstColumn="0" w:lastColumn="0" w:oddVBand="0" w:evenVBand="0" w:oddHBand="1" w:evenHBand="0" w:firstRowFirstColumn="0" w:firstRowLastColumn="0" w:lastRowFirstColumn="0" w:lastRowLastColumn="0"/>
        </w:trPr>
        <w:tc>
          <w:tcPr>
            <w:tcW w:w="2407" w:type="dxa"/>
            <w:shd w:val="clear" w:color="auto" w:fill="auto"/>
            <w:vAlign w:val="center"/>
          </w:tcPr>
          <w:p w14:paraId="7B684D53" w14:textId="40B5B492" w:rsidR="000F2428" w:rsidRPr="007A5752" w:rsidRDefault="000F2428" w:rsidP="009136CD">
            <w:pPr>
              <w:jc w:val="center"/>
              <w:rPr>
                <w:b/>
                <w:bCs/>
              </w:rPr>
            </w:pPr>
            <w:r w:rsidRPr="007A5752">
              <w:rPr>
                <w:b/>
                <w:bCs/>
              </w:rPr>
              <w:t>Won’t Fix</w:t>
            </w:r>
          </w:p>
        </w:tc>
        <w:tc>
          <w:tcPr>
            <w:tcW w:w="12981" w:type="dxa"/>
          </w:tcPr>
          <w:p w14:paraId="6B6B750B" w14:textId="7AA6077D" w:rsidR="000F2428" w:rsidRDefault="00FC1F34" w:rsidP="009136CD">
            <w:r w:rsidRPr="00FC1F34">
              <w:t>The issue has been reviewed and acknowledged, but it has been agreed that no corrective action will be taken. This may occur where the issue has minimal impact, the effort required to resolve it outweighs the benefit, or it falls outside the agreed scope of the implementation.</w:t>
            </w:r>
          </w:p>
        </w:tc>
      </w:tr>
    </w:tbl>
    <w:p w14:paraId="32EF79C0" w14:textId="77777777" w:rsidR="00774F07" w:rsidRPr="00774F07" w:rsidRDefault="00774F07" w:rsidP="00774F07"/>
    <w:p w14:paraId="38BEEFDE" w14:textId="37E36E8D" w:rsidR="00733A1E" w:rsidRDefault="00733A1E" w:rsidP="002170B5">
      <w:pPr>
        <w:pStyle w:val="Heading2"/>
      </w:pPr>
      <w:bookmarkStart w:id="12" w:name="_Toc224750397"/>
      <w:r>
        <w:t>How to raise an issue</w:t>
      </w:r>
      <w:bookmarkEnd w:id="12"/>
    </w:p>
    <w:p w14:paraId="547F3C6B" w14:textId="4F811042" w:rsidR="005721D6" w:rsidRDefault="00841BCB" w:rsidP="00841BCB">
      <w:pPr>
        <w:pStyle w:val="ListParagraph"/>
        <w:numPr>
          <w:ilvl w:val="0"/>
          <w:numId w:val="33"/>
        </w:numPr>
      </w:pPr>
      <w:r>
        <w:t>Navigate and login to the Project Online to Altus migration Team Site</w:t>
      </w:r>
    </w:p>
    <w:p w14:paraId="7843555A" w14:textId="7AE7B4E6" w:rsidR="00841BCB" w:rsidRDefault="00FB2B2B" w:rsidP="00841BCB">
      <w:pPr>
        <w:pStyle w:val="ListParagraph"/>
        <w:numPr>
          <w:ilvl w:val="0"/>
          <w:numId w:val="33"/>
        </w:numPr>
      </w:pPr>
      <w:r>
        <w:t>Under the General channel, select the Issue Tracker Tab and click the + Add new item button.</w:t>
      </w:r>
    </w:p>
    <w:p w14:paraId="7397B017" w14:textId="1C397E21" w:rsidR="002F031B" w:rsidRDefault="002F031B" w:rsidP="002F031B">
      <w:pPr>
        <w:pStyle w:val="ListParagraph"/>
        <w:numPr>
          <w:ilvl w:val="1"/>
          <w:numId w:val="33"/>
        </w:numPr>
      </w:pPr>
      <w:r>
        <w:rPr>
          <w:noProof/>
        </w:rPr>
        <w:drawing>
          <wp:inline distT="0" distB="0" distL="0" distR="0" wp14:anchorId="64A887C9" wp14:editId="65CF96FA">
            <wp:extent cx="4429820" cy="2381250"/>
            <wp:effectExtent l="0" t="0" r="8890" b="0"/>
            <wp:docPr id="95579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96211" name=""/>
                    <pic:cNvPicPr/>
                  </pic:nvPicPr>
                  <pic:blipFill>
                    <a:blip r:embed="rId12"/>
                    <a:stretch>
                      <a:fillRect/>
                    </a:stretch>
                  </pic:blipFill>
                  <pic:spPr>
                    <a:xfrm>
                      <a:off x="0" y="0"/>
                      <a:ext cx="4438181" cy="2385745"/>
                    </a:xfrm>
                    <a:prstGeom prst="rect">
                      <a:avLst/>
                    </a:prstGeom>
                  </pic:spPr>
                </pic:pic>
              </a:graphicData>
            </a:graphic>
          </wp:inline>
        </w:drawing>
      </w:r>
    </w:p>
    <w:p w14:paraId="74F4FAA1" w14:textId="77777777" w:rsidR="006C647D" w:rsidRDefault="00952957" w:rsidP="00841BCB">
      <w:pPr>
        <w:pStyle w:val="ListParagraph"/>
        <w:numPr>
          <w:ilvl w:val="0"/>
          <w:numId w:val="33"/>
        </w:numPr>
      </w:pPr>
      <w:r>
        <w:t>Enter the name</w:t>
      </w:r>
      <w:r w:rsidR="004D42C6">
        <w:t xml:space="preserve">/title of the issue </w:t>
      </w:r>
    </w:p>
    <w:p w14:paraId="034DC023" w14:textId="460CF716" w:rsidR="002F031B" w:rsidRDefault="006C647D" w:rsidP="00841BCB">
      <w:pPr>
        <w:pStyle w:val="ListParagraph"/>
        <w:numPr>
          <w:ilvl w:val="0"/>
          <w:numId w:val="33"/>
        </w:numPr>
      </w:pPr>
      <w:r>
        <w:t xml:space="preserve">Click the pencil icon to edit the description area. Enter a </w:t>
      </w:r>
      <w:r w:rsidR="005038B6">
        <w:t xml:space="preserve">detailed </w:t>
      </w:r>
      <w:r w:rsidR="004D42C6">
        <w:t>description</w:t>
      </w:r>
      <w:r w:rsidR="005038B6">
        <w:t xml:space="preserve">, along with screen shots and steps on how to reproduce the issue </w:t>
      </w:r>
      <w:r w:rsidR="004D42C6">
        <w:t xml:space="preserve">to </w:t>
      </w:r>
      <w:r w:rsidR="00932704">
        <w:t xml:space="preserve">avoid </w:t>
      </w:r>
      <w:r w:rsidR="00716A37">
        <w:t xml:space="preserve">vague </w:t>
      </w:r>
      <w:r w:rsidR="00932704">
        <w:t>time inefficiencies</w:t>
      </w:r>
      <w:r w:rsidR="00716A37">
        <w:t xml:space="preserve"> between the support technician and resolution time</w:t>
      </w:r>
      <w:r w:rsidR="00E53130">
        <w:t>.</w:t>
      </w:r>
    </w:p>
    <w:p w14:paraId="35E69CF4" w14:textId="5D88F451" w:rsidR="00254200" w:rsidRPr="00254200" w:rsidRDefault="00254200" w:rsidP="00841BCB">
      <w:pPr>
        <w:pStyle w:val="ListParagraph"/>
        <w:numPr>
          <w:ilvl w:val="0"/>
          <w:numId w:val="33"/>
        </w:numPr>
      </w:pPr>
      <w:r>
        <w:t xml:space="preserve">Set the priority based on the following matrix: </w:t>
      </w:r>
      <w:r w:rsidRPr="00254200">
        <w:rPr>
          <w:color w:val="BCA7E1" w:themeColor="accent2"/>
        </w:rPr>
        <w:fldChar w:fldCharType="begin"/>
      </w:r>
      <w:r w:rsidRPr="00254200">
        <w:rPr>
          <w:color w:val="BCA7E1" w:themeColor="accent2"/>
        </w:rPr>
        <w:instrText xml:space="preserve"> REF _Ref224636914 \h </w:instrText>
      </w:r>
      <w:r w:rsidRPr="00254200">
        <w:rPr>
          <w:color w:val="BCA7E1" w:themeColor="accent2"/>
        </w:rPr>
      </w:r>
      <w:r w:rsidRPr="00254200">
        <w:rPr>
          <w:color w:val="BCA7E1" w:themeColor="accent2"/>
        </w:rPr>
        <w:fldChar w:fldCharType="separate"/>
      </w:r>
      <w:r w:rsidRPr="00254200">
        <w:rPr>
          <w:color w:val="BCA7E1" w:themeColor="accent2"/>
        </w:rPr>
        <w:t>Issue Priority Definitions</w:t>
      </w:r>
      <w:r w:rsidRPr="00254200">
        <w:rPr>
          <w:color w:val="BCA7E1" w:themeColor="accent2"/>
        </w:rPr>
        <w:fldChar w:fldCharType="end"/>
      </w:r>
    </w:p>
    <w:p w14:paraId="22BDC5D2" w14:textId="505587BE" w:rsidR="00254200" w:rsidRDefault="00774F07" w:rsidP="00841BCB">
      <w:pPr>
        <w:pStyle w:val="ListParagraph"/>
        <w:numPr>
          <w:ilvl w:val="0"/>
          <w:numId w:val="33"/>
        </w:numPr>
      </w:pPr>
      <w:r>
        <w:t>Set the Status appropriately</w:t>
      </w:r>
      <w:r w:rsidR="0075100E">
        <w:t xml:space="preserve"> based on the following matrix: </w:t>
      </w:r>
      <w:r w:rsidR="0075100E">
        <w:fldChar w:fldCharType="begin"/>
      </w:r>
      <w:r w:rsidR="0075100E">
        <w:instrText xml:space="preserve"> REF _Ref224637245 \h </w:instrText>
      </w:r>
      <w:r w:rsidR="0075100E">
        <w:fldChar w:fldCharType="separate"/>
      </w:r>
      <w:r w:rsidR="0075100E">
        <w:t>Issue Status Definitions</w:t>
      </w:r>
      <w:r w:rsidR="0075100E">
        <w:fldChar w:fldCharType="end"/>
      </w:r>
    </w:p>
    <w:p w14:paraId="2B5C4D44" w14:textId="114C7FDD" w:rsidR="0020789F" w:rsidRDefault="0020789F" w:rsidP="00841BCB">
      <w:pPr>
        <w:pStyle w:val="ListParagraph"/>
        <w:numPr>
          <w:ilvl w:val="0"/>
          <w:numId w:val="33"/>
        </w:numPr>
      </w:pPr>
      <w:r>
        <w:t>Assign the issue to the Altus Implementation Project Manager (IPM)</w:t>
      </w:r>
      <w:r w:rsidR="00E90A53">
        <w:t xml:space="preserve"> or directly to another individual if known and available to select from.</w:t>
      </w:r>
    </w:p>
    <w:p w14:paraId="1AF7A85D" w14:textId="0DC54873" w:rsidR="00E90A53" w:rsidRDefault="00E90A53" w:rsidP="00841BCB">
      <w:pPr>
        <w:pStyle w:val="ListParagraph"/>
        <w:numPr>
          <w:ilvl w:val="0"/>
          <w:numId w:val="33"/>
        </w:numPr>
      </w:pPr>
      <w:r>
        <w:t xml:space="preserve">Note, </w:t>
      </w:r>
      <w:r w:rsidR="00550154">
        <w:t xml:space="preserve">the resolution area will be completed by the responding support technician, along with additional comments on status that </w:t>
      </w:r>
      <w:r w:rsidR="008A198A">
        <w:t>will be attached to the issue item.</w:t>
      </w:r>
    </w:p>
    <w:p w14:paraId="4AA91F2D" w14:textId="7204FC29" w:rsidR="005721D6" w:rsidRPr="005721D6" w:rsidRDefault="00981086" w:rsidP="005721D6">
      <w:r>
        <w:rPr>
          <w:noProof/>
        </w:rPr>
        <w:lastRenderedPageBreak/>
        <w:drawing>
          <wp:inline distT="0" distB="0" distL="0" distR="0" wp14:anchorId="444A98BF" wp14:editId="470DC0BA">
            <wp:extent cx="6220685" cy="3343618"/>
            <wp:effectExtent l="152400" t="152400" r="370840" b="371475"/>
            <wp:docPr id="25324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42793"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20685" cy="3343618"/>
                    </a:xfrm>
                    <a:prstGeom prst="rect">
                      <a:avLst/>
                    </a:prstGeom>
                    <a:ln>
                      <a:noFill/>
                    </a:ln>
                    <a:effectLst>
                      <a:outerShdw blurRad="292100" dist="139700" dir="2700000" algn="tl" rotWithShape="0">
                        <a:srgbClr val="333333">
                          <a:alpha val="65000"/>
                        </a:srgbClr>
                      </a:outerShdw>
                    </a:effectLst>
                  </pic:spPr>
                </pic:pic>
              </a:graphicData>
            </a:graphic>
          </wp:inline>
        </w:drawing>
      </w:r>
    </w:p>
    <w:p w14:paraId="68791F3D" w14:textId="5E7F645A" w:rsidR="00100FD1" w:rsidRDefault="00100FD1" w:rsidP="00C379BB">
      <w:pPr>
        <w:pStyle w:val="Heading2"/>
      </w:pPr>
      <w:bookmarkStart w:id="13" w:name="_Toc224750398"/>
      <w:r>
        <w:t>Altus one-week priority support</w:t>
      </w:r>
      <w:r w:rsidR="002E2149">
        <w:t xml:space="preserve"> Process</w:t>
      </w:r>
      <w:bookmarkEnd w:id="13"/>
    </w:p>
    <w:p w14:paraId="30233BAF" w14:textId="61F8BB24" w:rsidR="00B10E46" w:rsidRDefault="00B10E46" w:rsidP="00B10E46">
      <w:r>
        <w:t xml:space="preserve">The purpose of the one-week priority support period is to provide focused post-go-live assistance during the initial transition to the new production environment. This period allows the implementation vendor to rapidly respond to any issues that may emerge once users begin operating in the live </w:t>
      </w:r>
      <w:r w:rsidR="00C71037">
        <w:t xml:space="preserve">Altus </w:t>
      </w:r>
      <w:r w:rsidR="00007657">
        <w:t xml:space="preserve">production </w:t>
      </w:r>
      <w:r>
        <w:t>system, particularly those related to the completed data migration activities. It provides the project team with confidence that any migration-related concerns can be quickly assessed and addressed while the solution is being actively adopted by users.</w:t>
      </w:r>
    </w:p>
    <w:p w14:paraId="2133AE65" w14:textId="7CC7728C" w:rsidR="00B10E46" w:rsidRDefault="00B10E46" w:rsidP="00B10E46">
      <w:r>
        <w:t xml:space="preserve">By concentrating support during this early stage of production use, the vendor can efficiently validate that the migrated data is functioning as expected within the client’s environment and resolve any confirmed migration issues with minimal disruption to ongoing operations. This approach helps ensure a smooth stabilisation period immediately following go-live before transitioning the solution into standard </w:t>
      </w:r>
      <w:r w:rsidR="00C11C70">
        <w:t xml:space="preserve">ongoing </w:t>
      </w:r>
      <w:r>
        <w:t>support arrangements.</w:t>
      </w:r>
    </w:p>
    <w:p w14:paraId="52C6EA36" w14:textId="5F708BB5" w:rsidR="0093637F" w:rsidRDefault="007660DF" w:rsidP="00B10E46">
      <w:r>
        <w:t xml:space="preserve">It is important to note that the </w:t>
      </w:r>
      <w:r w:rsidR="0093637F">
        <w:t xml:space="preserve">one-week priority support period will commence on the agreed initial production go-live date. During this period, any issues logged that can reasonably be attributed to in-scope data migration activities will be reviewed, actioned and responded to by the implementation vendor as efficiently </w:t>
      </w:r>
      <w:r w:rsidR="002E2149">
        <w:t>as practicable</w:t>
      </w:r>
      <w:r w:rsidR="0093637F">
        <w:t>. Where investigation or resolution of these issues extends beyond the one-week period, the vendor will continue working towards resolution.</w:t>
      </w:r>
    </w:p>
    <w:p w14:paraId="6940ADBE" w14:textId="34140777" w:rsidR="00F116AB" w:rsidRPr="00F116AB" w:rsidRDefault="0093637F" w:rsidP="0093637F">
      <w:r>
        <w:t>Issues raised after the one-week priority support period has concluded will fall outside the included support scope and may require additional fees for investigation and resolution.</w:t>
      </w:r>
    </w:p>
    <w:sectPr w:rsidR="00F116AB" w:rsidRPr="00F116AB" w:rsidSect="00C379BB">
      <w:headerReference w:type="default" r:id="rId14"/>
      <w:footerReference w:type="default" r:id="rId15"/>
      <w:headerReference w:type="first" r:id="rId16"/>
      <w:pgSz w:w="11906" w:h="16838"/>
      <w:pgMar w:top="720" w:right="720" w:bottom="720" w:left="720" w:header="68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2336A" w14:textId="77777777" w:rsidR="00ED76A3" w:rsidRDefault="00ED76A3" w:rsidP="007432C4">
      <w:pPr>
        <w:spacing w:after="0" w:line="240" w:lineRule="auto"/>
      </w:pPr>
      <w:r>
        <w:separator/>
      </w:r>
    </w:p>
  </w:endnote>
  <w:endnote w:type="continuationSeparator" w:id="0">
    <w:p w14:paraId="3112CEE9" w14:textId="77777777" w:rsidR="00ED76A3" w:rsidRDefault="00ED76A3" w:rsidP="00743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iforma LL">
    <w:altName w:val="Calibri"/>
    <w:panose1 w:val="00000000000000000000"/>
    <w:charset w:val="00"/>
    <w:family w:val="swiss"/>
    <w:notTrueType/>
    <w:pitch w:val="variable"/>
    <w:sig w:usb0="A00000FF" w:usb1="4000E0FB" w:usb2="00000008" w:usb3="00000000" w:csb0="00000093"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ngsana New">
    <w:panose1 w:val="02020603050405020304"/>
    <w:charset w:val="DE"/>
    <w:family w:val="roman"/>
    <w:pitch w:val="variable"/>
    <w:sig w:usb0="81000003" w:usb1="00000000" w:usb2="00000000" w:usb3="00000000" w:csb0="00010001" w:csb1="00000000"/>
  </w:font>
  <w:font w:name="Riforma LL Medium">
    <w:altName w:val="Calibri"/>
    <w:panose1 w:val="00000000000000000000"/>
    <w:charset w:val="00"/>
    <w:family w:val="swiss"/>
    <w:notTrueType/>
    <w:pitch w:val="variable"/>
    <w:sig w:usb0="A00000FF" w:usb1="4000E0FB" w:usb2="00000008" w:usb3="00000000" w:csb0="00000093" w:csb1="00000000"/>
  </w:font>
  <w:font w:name="SimHei">
    <w:panose1 w:val="0201060906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emibold">
    <w:panose1 w:val="020B07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3271" w14:textId="77777777" w:rsidR="001A03E8" w:rsidRPr="00E470AA" w:rsidRDefault="00F50D04" w:rsidP="00F67580">
    <w:pPr>
      <w:pStyle w:val="Body"/>
      <w:ind w:left="0" w:firstLine="0"/>
    </w:pPr>
    <w:r>
      <w:rPr>
        <w:noProof/>
      </w:rPr>
      <w:drawing>
        <wp:anchor distT="0" distB="0" distL="114300" distR="114300" simplePos="0" relativeHeight="251658241" behindDoc="0" locked="0" layoutInCell="1" allowOverlap="1" wp14:anchorId="74D64DA7" wp14:editId="2A4E6C72">
          <wp:simplePos x="0" y="0"/>
          <wp:positionH relativeFrom="column">
            <wp:posOffset>0</wp:posOffset>
          </wp:positionH>
          <wp:positionV relativeFrom="bottomMargin">
            <wp:posOffset>288314</wp:posOffset>
          </wp:positionV>
          <wp:extent cx="720000" cy="211962"/>
          <wp:effectExtent l="0" t="0" r="4445" b="0"/>
          <wp:wrapNone/>
          <wp:docPr id="53037986" name="Picture 53037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20000" cy="21196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A8718" w14:textId="77777777" w:rsidR="00ED76A3" w:rsidRDefault="00ED76A3" w:rsidP="007432C4">
      <w:pPr>
        <w:spacing w:after="0" w:line="240" w:lineRule="auto"/>
      </w:pPr>
      <w:r>
        <w:separator/>
      </w:r>
    </w:p>
  </w:footnote>
  <w:footnote w:type="continuationSeparator" w:id="0">
    <w:p w14:paraId="667A7298" w14:textId="77777777" w:rsidR="00ED76A3" w:rsidRDefault="00ED76A3" w:rsidP="00743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427083"/>
      <w:docPartObj>
        <w:docPartGallery w:val="Page Numbers (Top of Page)"/>
        <w:docPartUnique/>
      </w:docPartObj>
    </w:sdtPr>
    <w:sdtEndPr>
      <w:rPr>
        <w:noProof/>
      </w:rPr>
    </w:sdtEndPr>
    <w:sdtContent>
      <w:p w14:paraId="0E05E63F" w14:textId="77777777" w:rsidR="001A03E8" w:rsidRPr="00F50D04" w:rsidRDefault="00F50D04" w:rsidP="00FD71FD">
        <w:pPr>
          <w:pStyle w:val="Body"/>
        </w:pPr>
        <w:r w:rsidRPr="00F50D04">
          <w:fldChar w:fldCharType="begin"/>
        </w:r>
        <w:r w:rsidRPr="00F50D04">
          <w:instrText xml:space="preserve"> PAGE   \* MERGEFORMAT </w:instrText>
        </w:r>
        <w:r w:rsidRPr="00F50D04">
          <w:fldChar w:fldCharType="separate"/>
        </w:r>
        <w:r w:rsidRPr="00F50D04">
          <w:rPr>
            <w:noProof/>
          </w:rPr>
          <w:t>2</w:t>
        </w:r>
        <w:r w:rsidRPr="00F50D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D7477" w14:textId="77777777" w:rsidR="00FA4C08" w:rsidRDefault="00FA4C08" w:rsidP="00150EFC">
    <w:pPr>
      <w:pStyle w:val="Header"/>
      <w:jc w:val="left"/>
    </w:pPr>
    <w:r w:rsidRPr="00C10BE7">
      <w:rPr>
        <w:rFonts w:cs="Segoe UI Light"/>
        <w:noProof/>
        <w:sz w:val="100"/>
        <w:szCs w:val="100"/>
      </w:rPr>
      <mc:AlternateContent>
        <mc:Choice Requires="wps">
          <w:drawing>
            <wp:anchor distT="0" distB="0" distL="114300" distR="114300" simplePos="0" relativeHeight="251658240" behindDoc="1" locked="0" layoutInCell="1" allowOverlap="1" wp14:anchorId="7EDC0F59" wp14:editId="5D0A6DE5">
              <wp:simplePos x="0" y="0"/>
              <wp:positionH relativeFrom="page">
                <wp:align>center</wp:align>
              </wp:positionH>
              <wp:positionV relativeFrom="page">
                <wp:align>top</wp:align>
              </wp:positionV>
              <wp:extent cx="7560000" cy="10692000"/>
              <wp:effectExtent l="0" t="0" r="3175" b="0"/>
              <wp:wrapNone/>
              <wp:docPr id="5" name="object 2"/>
              <wp:cNvGraphicFramePr/>
              <a:graphic xmlns:a="http://schemas.openxmlformats.org/drawingml/2006/main">
                <a:graphicData uri="http://schemas.microsoft.com/office/word/2010/wordprocessingShape">
                  <wps:wsp>
                    <wps:cNvSpPr/>
                    <wps:spPr>
                      <a:xfrm>
                        <a:off x="0" y="0"/>
                        <a:ext cx="7560000" cy="10692000"/>
                      </a:xfrm>
                      <a:custGeom>
                        <a:avLst/>
                        <a:gdLst/>
                        <a:ahLst/>
                        <a:cxnLst/>
                        <a:rect l="l" t="t" r="r" b="b"/>
                        <a:pathLst>
                          <a:path w="15240000" h="10160000">
                            <a:moveTo>
                              <a:pt x="0" y="10160000"/>
                            </a:moveTo>
                            <a:lnTo>
                              <a:pt x="15240000" y="10160000"/>
                            </a:lnTo>
                            <a:lnTo>
                              <a:pt x="15240000" y="0"/>
                            </a:lnTo>
                            <a:lnTo>
                              <a:pt x="0" y="0"/>
                            </a:lnTo>
                            <a:lnTo>
                              <a:pt x="0" y="10160000"/>
                            </a:lnTo>
                            <a:close/>
                          </a:path>
                        </a:pathLst>
                      </a:custGeom>
                      <a:gradFill>
                        <a:gsLst>
                          <a:gs pos="31000">
                            <a:schemeClr val="accent2">
                              <a:lumMod val="75000"/>
                              <a:alpha val="90000"/>
                            </a:schemeClr>
                          </a:gs>
                          <a:gs pos="100000">
                            <a:schemeClr val="accent1"/>
                          </a:gs>
                        </a:gsLst>
                        <a:lin ang="0" scaled="1"/>
                      </a:gradFill>
                    </wps:spPr>
                    <wps:bodyPr wrap="square" lIns="0" tIns="0" rIns="0" bIns="0" rtlCol="0"/>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09B333F" id="object 2" o:spid="_x0000_s1026" style="position:absolute;margin-left:0;margin-top:0;width:595.3pt;height:841.9pt;z-index:-251658241;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top" coordsize="15240000,1016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" path="m,10160000r15240000,l15240000,,,,,10160000xe" fillcolor="#835dc8 [2405]" stroked="f">
              <v:fill color2="#7d56c5 [3204]" o:opacity2="58982f" angle="90" colors="0 #845ec8;20316f #845ec8" focus="100%" type="gradient"/>
              <v:path arrowok="t"/>
              <w10:wrap anchorx="page" anchory="page"/>
            </v:shape>
          </w:pict>
        </mc:Fallback>
      </mc:AlternateContent>
    </w:r>
    <w:r w:rsidR="00150EFC">
      <w:rPr>
        <w:noProof/>
      </w:rPr>
      <w:drawing>
        <wp:inline distT="0" distB="0" distL="0" distR="0" wp14:anchorId="1D999261" wp14:editId="4805AF3C">
          <wp:extent cx="1260000" cy="370817"/>
          <wp:effectExtent l="0" t="0" r="0" b="0"/>
          <wp:docPr id="1950690779" name="Picture 195069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1260000" cy="3708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57316"/>
    <w:multiLevelType w:val="hybridMultilevel"/>
    <w:tmpl w:val="B3180BA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1893A3E"/>
    <w:multiLevelType w:val="hybridMultilevel"/>
    <w:tmpl w:val="117E86D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D40EC9AA">
      <w:numFmt w:val="bullet"/>
      <w:lvlText w:val="•"/>
      <w:lvlJc w:val="left"/>
      <w:pPr>
        <w:ind w:left="2700" w:hanging="720"/>
      </w:pPr>
      <w:rPr>
        <w:rFonts w:ascii="Riforma LL" w:eastAsiaTheme="minorHAnsi" w:hAnsi="Riforma LL" w:cs="Riforma LL"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AF95780"/>
    <w:multiLevelType w:val="hybridMultilevel"/>
    <w:tmpl w:val="70748540"/>
    <w:lvl w:ilvl="0" w:tplc="CBA40C90">
      <w:start w:val="1"/>
      <w:numFmt w:val="bullet"/>
      <w:pStyle w:val="SmallBullets"/>
      <w:lvlText w:val=""/>
      <w:lvlJc w:val="left"/>
      <w:pPr>
        <w:ind w:left="363" w:hanging="360"/>
      </w:pPr>
      <w:rPr>
        <w:rFonts w:ascii="Wingdings" w:hAnsi="Wingdings" w:hint="default"/>
        <w:b/>
        <w:i w:val="0"/>
        <w:color w:val="6D1980"/>
      </w:rPr>
    </w:lvl>
    <w:lvl w:ilvl="1" w:tplc="14090003">
      <w:start w:val="1"/>
      <w:numFmt w:val="bullet"/>
      <w:lvlText w:val="o"/>
      <w:lvlJc w:val="left"/>
      <w:pPr>
        <w:ind w:left="1083" w:hanging="360"/>
      </w:pPr>
      <w:rPr>
        <w:rFonts w:ascii="Courier New" w:hAnsi="Courier New" w:cs="Courier New" w:hint="default"/>
      </w:rPr>
    </w:lvl>
    <w:lvl w:ilvl="2" w:tplc="14090005" w:tentative="1">
      <w:start w:val="1"/>
      <w:numFmt w:val="bullet"/>
      <w:lvlText w:val=""/>
      <w:lvlJc w:val="left"/>
      <w:pPr>
        <w:ind w:left="1803" w:hanging="360"/>
      </w:pPr>
      <w:rPr>
        <w:rFonts w:ascii="Wingdings" w:hAnsi="Wingdings" w:hint="default"/>
      </w:rPr>
    </w:lvl>
    <w:lvl w:ilvl="3" w:tplc="14090001" w:tentative="1">
      <w:start w:val="1"/>
      <w:numFmt w:val="bullet"/>
      <w:lvlText w:val=""/>
      <w:lvlJc w:val="left"/>
      <w:pPr>
        <w:ind w:left="2523" w:hanging="360"/>
      </w:pPr>
      <w:rPr>
        <w:rFonts w:ascii="Symbol" w:hAnsi="Symbol" w:hint="default"/>
      </w:rPr>
    </w:lvl>
    <w:lvl w:ilvl="4" w:tplc="14090003" w:tentative="1">
      <w:start w:val="1"/>
      <w:numFmt w:val="bullet"/>
      <w:lvlText w:val="o"/>
      <w:lvlJc w:val="left"/>
      <w:pPr>
        <w:ind w:left="3243" w:hanging="360"/>
      </w:pPr>
      <w:rPr>
        <w:rFonts w:ascii="Courier New" w:hAnsi="Courier New" w:cs="Courier New" w:hint="default"/>
      </w:rPr>
    </w:lvl>
    <w:lvl w:ilvl="5" w:tplc="14090005" w:tentative="1">
      <w:start w:val="1"/>
      <w:numFmt w:val="bullet"/>
      <w:lvlText w:val=""/>
      <w:lvlJc w:val="left"/>
      <w:pPr>
        <w:ind w:left="3963" w:hanging="360"/>
      </w:pPr>
      <w:rPr>
        <w:rFonts w:ascii="Wingdings" w:hAnsi="Wingdings" w:hint="default"/>
      </w:rPr>
    </w:lvl>
    <w:lvl w:ilvl="6" w:tplc="14090001" w:tentative="1">
      <w:start w:val="1"/>
      <w:numFmt w:val="bullet"/>
      <w:lvlText w:val=""/>
      <w:lvlJc w:val="left"/>
      <w:pPr>
        <w:ind w:left="4683" w:hanging="360"/>
      </w:pPr>
      <w:rPr>
        <w:rFonts w:ascii="Symbol" w:hAnsi="Symbol" w:hint="default"/>
      </w:rPr>
    </w:lvl>
    <w:lvl w:ilvl="7" w:tplc="14090003" w:tentative="1">
      <w:start w:val="1"/>
      <w:numFmt w:val="bullet"/>
      <w:lvlText w:val="o"/>
      <w:lvlJc w:val="left"/>
      <w:pPr>
        <w:ind w:left="5403" w:hanging="360"/>
      </w:pPr>
      <w:rPr>
        <w:rFonts w:ascii="Courier New" w:hAnsi="Courier New" w:cs="Courier New" w:hint="default"/>
      </w:rPr>
    </w:lvl>
    <w:lvl w:ilvl="8" w:tplc="14090005" w:tentative="1">
      <w:start w:val="1"/>
      <w:numFmt w:val="bullet"/>
      <w:lvlText w:val=""/>
      <w:lvlJc w:val="left"/>
      <w:pPr>
        <w:ind w:left="6123" w:hanging="360"/>
      </w:pPr>
      <w:rPr>
        <w:rFonts w:ascii="Wingdings" w:hAnsi="Wingdings" w:hint="default"/>
      </w:rPr>
    </w:lvl>
  </w:abstractNum>
  <w:abstractNum w:abstractNumId="3" w15:restartNumberingAfterBreak="0">
    <w:nsid w:val="2CE50CD9"/>
    <w:multiLevelType w:val="hybridMultilevel"/>
    <w:tmpl w:val="291EC62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2CC69B3"/>
    <w:multiLevelType w:val="hybridMultilevel"/>
    <w:tmpl w:val="68528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59A258E"/>
    <w:multiLevelType w:val="multilevel"/>
    <w:tmpl w:val="EEEEC0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794C67"/>
    <w:multiLevelType w:val="multilevel"/>
    <w:tmpl w:val="A7A0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BA0FAD"/>
    <w:multiLevelType w:val="hybridMultilevel"/>
    <w:tmpl w:val="297020F2"/>
    <w:lvl w:ilvl="0" w:tplc="FFFFFFF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0EF4FE0"/>
    <w:multiLevelType w:val="hybridMultilevel"/>
    <w:tmpl w:val="07E074CA"/>
    <w:lvl w:ilvl="0" w:tplc="B03EC2B8">
      <w:start w:val="1"/>
      <w:numFmt w:val="bullet"/>
      <w:pStyle w:val="ListBlack-Sensei"/>
      <w:lvlText w:val=""/>
      <w:lvlJc w:val="left"/>
      <w:pPr>
        <w:ind w:left="1080" w:hanging="360"/>
      </w:pPr>
      <w:rPr>
        <w:rFonts w:ascii="Segoe UI Symbol" w:hAnsi="Segoe UI Symbol" w:hint="default"/>
        <w:color w:val="081A28"/>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45A7559D"/>
    <w:multiLevelType w:val="hybridMultilevel"/>
    <w:tmpl w:val="5A04B4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76D69B9"/>
    <w:multiLevelType w:val="hybridMultilevel"/>
    <w:tmpl w:val="6016C48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7D33E18"/>
    <w:multiLevelType w:val="hybridMultilevel"/>
    <w:tmpl w:val="C616F12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999445D"/>
    <w:multiLevelType w:val="hybridMultilevel"/>
    <w:tmpl w:val="ADEEFB4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D1C02AB"/>
    <w:multiLevelType w:val="hybridMultilevel"/>
    <w:tmpl w:val="EFE01B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F0D6848"/>
    <w:multiLevelType w:val="hybridMultilevel"/>
    <w:tmpl w:val="ED020D84"/>
    <w:lvl w:ilvl="0" w:tplc="FFFFFFFF">
      <w:start w:val="1"/>
      <w:numFmt w:val="decimal"/>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1A851B0"/>
    <w:multiLevelType w:val="hybridMultilevel"/>
    <w:tmpl w:val="346EB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CF97CE0"/>
    <w:multiLevelType w:val="hybridMultilevel"/>
    <w:tmpl w:val="04C432AC"/>
    <w:lvl w:ilvl="0" w:tplc="FFFFFFF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2A17C98"/>
    <w:multiLevelType w:val="hybridMultilevel"/>
    <w:tmpl w:val="04C432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3A74081"/>
    <w:multiLevelType w:val="hybridMultilevel"/>
    <w:tmpl w:val="B6E4B9C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42C352E"/>
    <w:multiLevelType w:val="hybridMultilevel"/>
    <w:tmpl w:val="18E426C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66256430"/>
    <w:multiLevelType w:val="hybridMultilevel"/>
    <w:tmpl w:val="A928E5B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06766FA"/>
    <w:multiLevelType w:val="hybridMultilevel"/>
    <w:tmpl w:val="7EAAD27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0E1324A"/>
    <w:multiLevelType w:val="hybridMultilevel"/>
    <w:tmpl w:val="EFE01B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61013E9"/>
    <w:multiLevelType w:val="hybridMultilevel"/>
    <w:tmpl w:val="F08836C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6560452"/>
    <w:multiLevelType w:val="hybridMultilevel"/>
    <w:tmpl w:val="04C432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8885945"/>
    <w:multiLevelType w:val="hybridMultilevel"/>
    <w:tmpl w:val="D7241C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C0361D7"/>
    <w:multiLevelType w:val="hybridMultilevel"/>
    <w:tmpl w:val="78E2ED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FB472AD"/>
    <w:multiLevelType w:val="hybridMultilevel"/>
    <w:tmpl w:val="B0CE4E48"/>
    <w:lvl w:ilvl="0" w:tplc="6F3CDFA6">
      <w:start w:val="1"/>
      <w:numFmt w:val="bullet"/>
      <w:pStyle w:val="List-Sensei"/>
      <w:lvlText w:val=""/>
      <w:lvlJc w:val="left"/>
      <w:pPr>
        <w:ind w:left="720" w:hanging="360"/>
      </w:pPr>
      <w:rPr>
        <w:rFonts w:ascii="Segoe UI Symbol" w:hAnsi="Segoe UI Symbol" w:hint="default"/>
        <w:color w:val="604878"/>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59309633">
    <w:abstractNumId w:val="27"/>
  </w:num>
  <w:num w:numId="2" w16cid:durableId="1325427821">
    <w:abstractNumId w:val="8"/>
  </w:num>
  <w:num w:numId="3" w16cid:durableId="717558262">
    <w:abstractNumId w:val="2"/>
  </w:num>
  <w:num w:numId="4" w16cid:durableId="733548910">
    <w:abstractNumId w:val="19"/>
  </w:num>
  <w:num w:numId="5" w16cid:durableId="747380922">
    <w:abstractNumId w:val="5"/>
    <w:lvlOverride w:ilvl="0">
      <w:startOverride w:val="1"/>
    </w:lvlOverride>
  </w:num>
  <w:num w:numId="6" w16cid:durableId="2131973180">
    <w:abstractNumId w:val="5"/>
    <w:lvlOverride w:ilvl="0"/>
    <w:lvlOverride w:ilvl="1">
      <w:startOverride w:val="1"/>
    </w:lvlOverride>
  </w:num>
  <w:num w:numId="7" w16cid:durableId="606932885">
    <w:abstractNumId w:val="5"/>
    <w:lvlOverride w:ilvl="0"/>
    <w:lvlOverride w:ilvl="1">
      <w:startOverride w:val="1"/>
    </w:lvlOverride>
  </w:num>
  <w:num w:numId="8" w16cid:durableId="1814788006">
    <w:abstractNumId w:val="5"/>
    <w:lvlOverride w:ilvl="0"/>
    <w:lvlOverride w:ilvl="1">
      <w:startOverride w:val="1"/>
    </w:lvlOverride>
  </w:num>
  <w:num w:numId="9" w16cid:durableId="1452437167">
    <w:abstractNumId w:val="5"/>
    <w:lvlOverride w:ilvl="0"/>
    <w:lvlOverride w:ilvl="1">
      <w:startOverride w:val="1"/>
    </w:lvlOverride>
  </w:num>
  <w:num w:numId="10" w16cid:durableId="516772823">
    <w:abstractNumId w:val="5"/>
    <w:lvlOverride w:ilvl="0"/>
    <w:lvlOverride w:ilvl="1">
      <w:startOverride w:val="1"/>
    </w:lvlOverride>
  </w:num>
  <w:num w:numId="11" w16cid:durableId="857504903">
    <w:abstractNumId w:val="1"/>
  </w:num>
  <w:num w:numId="12" w16cid:durableId="627904226">
    <w:abstractNumId w:val="4"/>
  </w:num>
  <w:num w:numId="13" w16cid:durableId="1076905266">
    <w:abstractNumId w:val="12"/>
  </w:num>
  <w:num w:numId="14" w16cid:durableId="2145004042">
    <w:abstractNumId w:val="26"/>
  </w:num>
  <w:num w:numId="15" w16cid:durableId="977108763">
    <w:abstractNumId w:val="25"/>
  </w:num>
  <w:num w:numId="16" w16cid:durableId="147014972">
    <w:abstractNumId w:val="10"/>
  </w:num>
  <w:num w:numId="17" w16cid:durableId="678314863">
    <w:abstractNumId w:val="3"/>
  </w:num>
  <w:num w:numId="18" w16cid:durableId="424107541">
    <w:abstractNumId w:val="0"/>
  </w:num>
  <w:num w:numId="19" w16cid:durableId="1850634198">
    <w:abstractNumId w:val="9"/>
  </w:num>
  <w:num w:numId="20" w16cid:durableId="1723824324">
    <w:abstractNumId w:val="13"/>
  </w:num>
  <w:num w:numId="21" w16cid:durableId="264732451">
    <w:abstractNumId w:val="22"/>
  </w:num>
  <w:num w:numId="22" w16cid:durableId="1925603066">
    <w:abstractNumId w:val="16"/>
  </w:num>
  <w:num w:numId="23" w16cid:durableId="1576283989">
    <w:abstractNumId w:val="24"/>
  </w:num>
  <w:num w:numId="24" w16cid:durableId="843592385">
    <w:abstractNumId w:val="17"/>
  </w:num>
  <w:num w:numId="25" w16cid:durableId="1875455877">
    <w:abstractNumId w:val="14"/>
  </w:num>
  <w:num w:numId="26" w16cid:durableId="1347949330">
    <w:abstractNumId w:val="7"/>
  </w:num>
  <w:num w:numId="27" w16cid:durableId="175847270">
    <w:abstractNumId w:val="23"/>
  </w:num>
  <w:num w:numId="28" w16cid:durableId="1181119968">
    <w:abstractNumId w:val="21"/>
  </w:num>
  <w:num w:numId="29" w16cid:durableId="1878736581">
    <w:abstractNumId w:val="15"/>
  </w:num>
  <w:num w:numId="30" w16cid:durableId="1036155353">
    <w:abstractNumId w:val="11"/>
  </w:num>
  <w:num w:numId="31" w16cid:durableId="1455056167">
    <w:abstractNumId w:val="18"/>
  </w:num>
  <w:num w:numId="32" w16cid:durableId="1630550640">
    <w:abstractNumId w:val="6"/>
  </w:num>
  <w:num w:numId="33" w16cid:durableId="30886952">
    <w:abstractNumId w:val="2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A68"/>
    <w:rsid w:val="00001109"/>
    <w:rsid w:val="00001133"/>
    <w:rsid w:val="00002CB9"/>
    <w:rsid w:val="0000321B"/>
    <w:rsid w:val="00005248"/>
    <w:rsid w:val="00005525"/>
    <w:rsid w:val="00005F6A"/>
    <w:rsid w:val="000066D1"/>
    <w:rsid w:val="000074A5"/>
    <w:rsid w:val="00007657"/>
    <w:rsid w:val="00011977"/>
    <w:rsid w:val="00011BE7"/>
    <w:rsid w:val="00013594"/>
    <w:rsid w:val="00014028"/>
    <w:rsid w:val="00014411"/>
    <w:rsid w:val="00014FEA"/>
    <w:rsid w:val="00015DFC"/>
    <w:rsid w:val="0001602C"/>
    <w:rsid w:val="000169CC"/>
    <w:rsid w:val="00020944"/>
    <w:rsid w:val="00021109"/>
    <w:rsid w:val="0002183C"/>
    <w:rsid w:val="00022131"/>
    <w:rsid w:val="00023FAF"/>
    <w:rsid w:val="00035D7A"/>
    <w:rsid w:val="00035DE4"/>
    <w:rsid w:val="00036007"/>
    <w:rsid w:val="00043C8D"/>
    <w:rsid w:val="000448DF"/>
    <w:rsid w:val="00046337"/>
    <w:rsid w:val="00050A12"/>
    <w:rsid w:val="00050CC2"/>
    <w:rsid w:val="000513EF"/>
    <w:rsid w:val="00051C31"/>
    <w:rsid w:val="000526F6"/>
    <w:rsid w:val="00053331"/>
    <w:rsid w:val="00053F23"/>
    <w:rsid w:val="000541EE"/>
    <w:rsid w:val="0005510A"/>
    <w:rsid w:val="000554DE"/>
    <w:rsid w:val="0005559F"/>
    <w:rsid w:val="00055A6F"/>
    <w:rsid w:val="000565F1"/>
    <w:rsid w:val="00056729"/>
    <w:rsid w:val="00057D2E"/>
    <w:rsid w:val="0006232C"/>
    <w:rsid w:val="000629B7"/>
    <w:rsid w:val="00062D3F"/>
    <w:rsid w:val="000653EB"/>
    <w:rsid w:val="0006569F"/>
    <w:rsid w:val="00065DB0"/>
    <w:rsid w:val="00072B57"/>
    <w:rsid w:val="00074894"/>
    <w:rsid w:val="00074E45"/>
    <w:rsid w:val="00080796"/>
    <w:rsid w:val="00082399"/>
    <w:rsid w:val="00084D5C"/>
    <w:rsid w:val="000855A7"/>
    <w:rsid w:val="00085C27"/>
    <w:rsid w:val="00085D30"/>
    <w:rsid w:val="00094D7B"/>
    <w:rsid w:val="00097E43"/>
    <w:rsid w:val="000A12C4"/>
    <w:rsid w:val="000A1EA4"/>
    <w:rsid w:val="000A2C42"/>
    <w:rsid w:val="000A405D"/>
    <w:rsid w:val="000A50FA"/>
    <w:rsid w:val="000A5B6C"/>
    <w:rsid w:val="000A5C58"/>
    <w:rsid w:val="000A6D80"/>
    <w:rsid w:val="000A7AA6"/>
    <w:rsid w:val="000B0D51"/>
    <w:rsid w:val="000B2133"/>
    <w:rsid w:val="000B6DC7"/>
    <w:rsid w:val="000B75FC"/>
    <w:rsid w:val="000C0108"/>
    <w:rsid w:val="000C1AA8"/>
    <w:rsid w:val="000C40F9"/>
    <w:rsid w:val="000C4613"/>
    <w:rsid w:val="000C53E1"/>
    <w:rsid w:val="000C58A3"/>
    <w:rsid w:val="000D002F"/>
    <w:rsid w:val="000D1A27"/>
    <w:rsid w:val="000D35C3"/>
    <w:rsid w:val="000D4147"/>
    <w:rsid w:val="000D43FD"/>
    <w:rsid w:val="000D596B"/>
    <w:rsid w:val="000D5A7E"/>
    <w:rsid w:val="000D6C59"/>
    <w:rsid w:val="000D7F47"/>
    <w:rsid w:val="000E0592"/>
    <w:rsid w:val="000E298C"/>
    <w:rsid w:val="000E6423"/>
    <w:rsid w:val="000E71D9"/>
    <w:rsid w:val="000E7409"/>
    <w:rsid w:val="000E7A9E"/>
    <w:rsid w:val="000E7E69"/>
    <w:rsid w:val="000F0685"/>
    <w:rsid w:val="000F2428"/>
    <w:rsid w:val="000F392D"/>
    <w:rsid w:val="000F608B"/>
    <w:rsid w:val="00100CE7"/>
    <w:rsid w:val="00100FD1"/>
    <w:rsid w:val="00102ADC"/>
    <w:rsid w:val="00105C75"/>
    <w:rsid w:val="0010656B"/>
    <w:rsid w:val="00106ADC"/>
    <w:rsid w:val="001075E6"/>
    <w:rsid w:val="001078BF"/>
    <w:rsid w:val="00110159"/>
    <w:rsid w:val="00113242"/>
    <w:rsid w:val="0011371F"/>
    <w:rsid w:val="001156CD"/>
    <w:rsid w:val="00117DF2"/>
    <w:rsid w:val="0012129A"/>
    <w:rsid w:val="00121B8F"/>
    <w:rsid w:val="001228B2"/>
    <w:rsid w:val="00122CB9"/>
    <w:rsid w:val="0012345E"/>
    <w:rsid w:val="00123B53"/>
    <w:rsid w:val="00123FA0"/>
    <w:rsid w:val="00124B5D"/>
    <w:rsid w:val="00127D93"/>
    <w:rsid w:val="0013055B"/>
    <w:rsid w:val="001318FD"/>
    <w:rsid w:val="001327A9"/>
    <w:rsid w:val="001328C0"/>
    <w:rsid w:val="001336E9"/>
    <w:rsid w:val="00133CC1"/>
    <w:rsid w:val="001350BE"/>
    <w:rsid w:val="00135A1C"/>
    <w:rsid w:val="00136628"/>
    <w:rsid w:val="001400D0"/>
    <w:rsid w:val="0014024D"/>
    <w:rsid w:val="001434B6"/>
    <w:rsid w:val="00144C61"/>
    <w:rsid w:val="00145B6A"/>
    <w:rsid w:val="0015083A"/>
    <w:rsid w:val="00150EFC"/>
    <w:rsid w:val="00151C43"/>
    <w:rsid w:val="00154FCA"/>
    <w:rsid w:val="00157C28"/>
    <w:rsid w:val="00160F9C"/>
    <w:rsid w:val="00161E0B"/>
    <w:rsid w:val="00163AC1"/>
    <w:rsid w:val="00165256"/>
    <w:rsid w:val="00165C60"/>
    <w:rsid w:val="00166E6E"/>
    <w:rsid w:val="00170A46"/>
    <w:rsid w:val="001729A1"/>
    <w:rsid w:val="00172E59"/>
    <w:rsid w:val="00173A82"/>
    <w:rsid w:val="00176610"/>
    <w:rsid w:val="00176D85"/>
    <w:rsid w:val="00177B86"/>
    <w:rsid w:val="0018014E"/>
    <w:rsid w:val="00181F2A"/>
    <w:rsid w:val="00182F59"/>
    <w:rsid w:val="00183E6A"/>
    <w:rsid w:val="00184E94"/>
    <w:rsid w:val="001906A0"/>
    <w:rsid w:val="00190BD0"/>
    <w:rsid w:val="00190D48"/>
    <w:rsid w:val="00193856"/>
    <w:rsid w:val="00193DE5"/>
    <w:rsid w:val="0019409C"/>
    <w:rsid w:val="00195DD3"/>
    <w:rsid w:val="00197275"/>
    <w:rsid w:val="001A03E8"/>
    <w:rsid w:val="001A1B71"/>
    <w:rsid w:val="001A3C22"/>
    <w:rsid w:val="001A546B"/>
    <w:rsid w:val="001A590F"/>
    <w:rsid w:val="001A5BD6"/>
    <w:rsid w:val="001A6702"/>
    <w:rsid w:val="001A67B7"/>
    <w:rsid w:val="001A74E0"/>
    <w:rsid w:val="001B0606"/>
    <w:rsid w:val="001B264A"/>
    <w:rsid w:val="001B2B5E"/>
    <w:rsid w:val="001B4717"/>
    <w:rsid w:val="001B50C7"/>
    <w:rsid w:val="001B6626"/>
    <w:rsid w:val="001B6880"/>
    <w:rsid w:val="001C012B"/>
    <w:rsid w:val="001C1531"/>
    <w:rsid w:val="001C275C"/>
    <w:rsid w:val="001C2BAF"/>
    <w:rsid w:val="001C2E3E"/>
    <w:rsid w:val="001C38AD"/>
    <w:rsid w:val="001C4BEB"/>
    <w:rsid w:val="001C62FF"/>
    <w:rsid w:val="001D2410"/>
    <w:rsid w:val="001D2642"/>
    <w:rsid w:val="001D2B98"/>
    <w:rsid w:val="001D6EE5"/>
    <w:rsid w:val="001E11FE"/>
    <w:rsid w:val="001E26D4"/>
    <w:rsid w:val="001E40CD"/>
    <w:rsid w:val="001E4D61"/>
    <w:rsid w:val="001E5A9C"/>
    <w:rsid w:val="001E627E"/>
    <w:rsid w:val="001E6772"/>
    <w:rsid w:val="001E7810"/>
    <w:rsid w:val="001F15AA"/>
    <w:rsid w:val="001F17E1"/>
    <w:rsid w:val="001F3B6B"/>
    <w:rsid w:val="001F4D70"/>
    <w:rsid w:val="0020080F"/>
    <w:rsid w:val="00203673"/>
    <w:rsid w:val="00204045"/>
    <w:rsid w:val="002040D6"/>
    <w:rsid w:val="00204BFB"/>
    <w:rsid w:val="00204E95"/>
    <w:rsid w:val="00205607"/>
    <w:rsid w:val="0020618C"/>
    <w:rsid w:val="0020789F"/>
    <w:rsid w:val="002078DC"/>
    <w:rsid w:val="002100AB"/>
    <w:rsid w:val="00210213"/>
    <w:rsid w:val="00212E27"/>
    <w:rsid w:val="002137A5"/>
    <w:rsid w:val="00215CF0"/>
    <w:rsid w:val="002170B5"/>
    <w:rsid w:val="00217E84"/>
    <w:rsid w:val="00220804"/>
    <w:rsid w:val="0022289A"/>
    <w:rsid w:val="00230E60"/>
    <w:rsid w:val="00231DC9"/>
    <w:rsid w:val="0023214D"/>
    <w:rsid w:val="00232D8C"/>
    <w:rsid w:val="002334C8"/>
    <w:rsid w:val="0023379C"/>
    <w:rsid w:val="00233C58"/>
    <w:rsid w:val="00234D97"/>
    <w:rsid w:val="002350B2"/>
    <w:rsid w:val="00236ABD"/>
    <w:rsid w:val="0023731E"/>
    <w:rsid w:val="00242BD6"/>
    <w:rsid w:val="00243B0B"/>
    <w:rsid w:val="00245BF8"/>
    <w:rsid w:val="00250552"/>
    <w:rsid w:val="00251B24"/>
    <w:rsid w:val="00251FE5"/>
    <w:rsid w:val="00254200"/>
    <w:rsid w:val="0025421F"/>
    <w:rsid w:val="00254C67"/>
    <w:rsid w:val="00255128"/>
    <w:rsid w:val="00257563"/>
    <w:rsid w:val="00257AC9"/>
    <w:rsid w:val="0026329D"/>
    <w:rsid w:val="00265FF1"/>
    <w:rsid w:val="0026657B"/>
    <w:rsid w:val="00266F26"/>
    <w:rsid w:val="0026739A"/>
    <w:rsid w:val="002674D2"/>
    <w:rsid w:val="00270C9F"/>
    <w:rsid w:val="002715F1"/>
    <w:rsid w:val="00272AAA"/>
    <w:rsid w:val="00272AD7"/>
    <w:rsid w:val="002760D5"/>
    <w:rsid w:val="002764E0"/>
    <w:rsid w:val="002804F0"/>
    <w:rsid w:val="00283E32"/>
    <w:rsid w:val="002843B5"/>
    <w:rsid w:val="00286035"/>
    <w:rsid w:val="00286D50"/>
    <w:rsid w:val="002874A1"/>
    <w:rsid w:val="00291361"/>
    <w:rsid w:val="00292B4C"/>
    <w:rsid w:val="002940F6"/>
    <w:rsid w:val="002949F7"/>
    <w:rsid w:val="00296A2A"/>
    <w:rsid w:val="00297E9D"/>
    <w:rsid w:val="002A38D3"/>
    <w:rsid w:val="002A55DE"/>
    <w:rsid w:val="002A597D"/>
    <w:rsid w:val="002A6C36"/>
    <w:rsid w:val="002A7AB8"/>
    <w:rsid w:val="002A7FC7"/>
    <w:rsid w:val="002B01EA"/>
    <w:rsid w:val="002B0586"/>
    <w:rsid w:val="002B0CD0"/>
    <w:rsid w:val="002B5531"/>
    <w:rsid w:val="002B6D37"/>
    <w:rsid w:val="002B77C8"/>
    <w:rsid w:val="002C1A78"/>
    <w:rsid w:val="002C468F"/>
    <w:rsid w:val="002C46F9"/>
    <w:rsid w:val="002C565F"/>
    <w:rsid w:val="002C673F"/>
    <w:rsid w:val="002D0898"/>
    <w:rsid w:val="002D2E7A"/>
    <w:rsid w:val="002D3781"/>
    <w:rsid w:val="002D72CA"/>
    <w:rsid w:val="002E2149"/>
    <w:rsid w:val="002E244C"/>
    <w:rsid w:val="002E268A"/>
    <w:rsid w:val="002E69B9"/>
    <w:rsid w:val="002E7C85"/>
    <w:rsid w:val="002F00AB"/>
    <w:rsid w:val="002F031B"/>
    <w:rsid w:val="002F0FB3"/>
    <w:rsid w:val="002F1A7A"/>
    <w:rsid w:val="002F38D7"/>
    <w:rsid w:val="002F42DA"/>
    <w:rsid w:val="002F5CBA"/>
    <w:rsid w:val="002F5F1D"/>
    <w:rsid w:val="002F711B"/>
    <w:rsid w:val="00300688"/>
    <w:rsid w:val="00302C8E"/>
    <w:rsid w:val="0030390D"/>
    <w:rsid w:val="00304499"/>
    <w:rsid w:val="00305106"/>
    <w:rsid w:val="00305D9B"/>
    <w:rsid w:val="00311094"/>
    <w:rsid w:val="00311E8B"/>
    <w:rsid w:val="00311F8F"/>
    <w:rsid w:val="00312636"/>
    <w:rsid w:val="00314111"/>
    <w:rsid w:val="00316569"/>
    <w:rsid w:val="00320120"/>
    <w:rsid w:val="00320A3C"/>
    <w:rsid w:val="00320B45"/>
    <w:rsid w:val="00321222"/>
    <w:rsid w:val="00321953"/>
    <w:rsid w:val="00321977"/>
    <w:rsid w:val="00323F4B"/>
    <w:rsid w:val="003244B4"/>
    <w:rsid w:val="00324825"/>
    <w:rsid w:val="00325158"/>
    <w:rsid w:val="00326420"/>
    <w:rsid w:val="00327369"/>
    <w:rsid w:val="00327718"/>
    <w:rsid w:val="00330B6B"/>
    <w:rsid w:val="00331BB5"/>
    <w:rsid w:val="003327BC"/>
    <w:rsid w:val="00333412"/>
    <w:rsid w:val="00334729"/>
    <w:rsid w:val="00334BCC"/>
    <w:rsid w:val="00335516"/>
    <w:rsid w:val="00335868"/>
    <w:rsid w:val="00336B9A"/>
    <w:rsid w:val="00341369"/>
    <w:rsid w:val="00341DD6"/>
    <w:rsid w:val="00342D6A"/>
    <w:rsid w:val="0034520E"/>
    <w:rsid w:val="00345670"/>
    <w:rsid w:val="0034692E"/>
    <w:rsid w:val="00346A8F"/>
    <w:rsid w:val="0034704E"/>
    <w:rsid w:val="00347C5F"/>
    <w:rsid w:val="00350278"/>
    <w:rsid w:val="00351843"/>
    <w:rsid w:val="00353975"/>
    <w:rsid w:val="00353D18"/>
    <w:rsid w:val="003549DB"/>
    <w:rsid w:val="00354C86"/>
    <w:rsid w:val="00362B34"/>
    <w:rsid w:val="00363BC9"/>
    <w:rsid w:val="00364035"/>
    <w:rsid w:val="003646A7"/>
    <w:rsid w:val="00364ABB"/>
    <w:rsid w:val="00365401"/>
    <w:rsid w:val="00365EDE"/>
    <w:rsid w:val="00366365"/>
    <w:rsid w:val="00366753"/>
    <w:rsid w:val="00370E3B"/>
    <w:rsid w:val="003720E2"/>
    <w:rsid w:val="00372C74"/>
    <w:rsid w:val="003733F1"/>
    <w:rsid w:val="00373E1F"/>
    <w:rsid w:val="0038082E"/>
    <w:rsid w:val="00381AAF"/>
    <w:rsid w:val="00382634"/>
    <w:rsid w:val="0038292C"/>
    <w:rsid w:val="00382FFE"/>
    <w:rsid w:val="0038515B"/>
    <w:rsid w:val="00385A21"/>
    <w:rsid w:val="00390534"/>
    <w:rsid w:val="00393334"/>
    <w:rsid w:val="003955C1"/>
    <w:rsid w:val="00395694"/>
    <w:rsid w:val="003957C6"/>
    <w:rsid w:val="003978E4"/>
    <w:rsid w:val="003A0727"/>
    <w:rsid w:val="003A1818"/>
    <w:rsid w:val="003A1DFE"/>
    <w:rsid w:val="003A3556"/>
    <w:rsid w:val="003A441F"/>
    <w:rsid w:val="003A5DCC"/>
    <w:rsid w:val="003B063E"/>
    <w:rsid w:val="003B0AEA"/>
    <w:rsid w:val="003B278C"/>
    <w:rsid w:val="003B2D17"/>
    <w:rsid w:val="003B35D2"/>
    <w:rsid w:val="003B3CC9"/>
    <w:rsid w:val="003B4BCA"/>
    <w:rsid w:val="003B5BE0"/>
    <w:rsid w:val="003B5C0B"/>
    <w:rsid w:val="003B6F38"/>
    <w:rsid w:val="003C101D"/>
    <w:rsid w:val="003C2204"/>
    <w:rsid w:val="003C2AF9"/>
    <w:rsid w:val="003C32AD"/>
    <w:rsid w:val="003C5A04"/>
    <w:rsid w:val="003D1318"/>
    <w:rsid w:val="003D277D"/>
    <w:rsid w:val="003D2C84"/>
    <w:rsid w:val="003D2D7A"/>
    <w:rsid w:val="003D313A"/>
    <w:rsid w:val="003D3B02"/>
    <w:rsid w:val="003D3C2E"/>
    <w:rsid w:val="003D4598"/>
    <w:rsid w:val="003D5287"/>
    <w:rsid w:val="003E4BDB"/>
    <w:rsid w:val="003E51E6"/>
    <w:rsid w:val="003E7FA2"/>
    <w:rsid w:val="003F134F"/>
    <w:rsid w:val="003F456C"/>
    <w:rsid w:val="003F49E1"/>
    <w:rsid w:val="003F4AAE"/>
    <w:rsid w:val="003F5216"/>
    <w:rsid w:val="003F5D7C"/>
    <w:rsid w:val="003F72A9"/>
    <w:rsid w:val="004002F0"/>
    <w:rsid w:val="00400A95"/>
    <w:rsid w:val="00401A31"/>
    <w:rsid w:val="00402C5D"/>
    <w:rsid w:val="00404C08"/>
    <w:rsid w:val="004115D5"/>
    <w:rsid w:val="00411606"/>
    <w:rsid w:val="004117CC"/>
    <w:rsid w:val="00411C98"/>
    <w:rsid w:val="0041250E"/>
    <w:rsid w:val="0041321D"/>
    <w:rsid w:val="004156E1"/>
    <w:rsid w:val="00416D59"/>
    <w:rsid w:val="00420E9A"/>
    <w:rsid w:val="00422949"/>
    <w:rsid w:val="00423F64"/>
    <w:rsid w:val="004253F8"/>
    <w:rsid w:val="00427E24"/>
    <w:rsid w:val="00430A8C"/>
    <w:rsid w:val="00430E7A"/>
    <w:rsid w:val="00431F37"/>
    <w:rsid w:val="00433426"/>
    <w:rsid w:val="004339EB"/>
    <w:rsid w:val="00433B8C"/>
    <w:rsid w:val="00435D62"/>
    <w:rsid w:val="00435D89"/>
    <w:rsid w:val="00436374"/>
    <w:rsid w:val="00440E97"/>
    <w:rsid w:val="00442870"/>
    <w:rsid w:val="00443E16"/>
    <w:rsid w:val="004450AB"/>
    <w:rsid w:val="00445BBD"/>
    <w:rsid w:val="00446FC0"/>
    <w:rsid w:val="004471AC"/>
    <w:rsid w:val="00447BAE"/>
    <w:rsid w:val="0045064A"/>
    <w:rsid w:val="00453C1F"/>
    <w:rsid w:val="00454122"/>
    <w:rsid w:val="00454AA6"/>
    <w:rsid w:val="00456408"/>
    <w:rsid w:val="00463B50"/>
    <w:rsid w:val="00464617"/>
    <w:rsid w:val="00464EAF"/>
    <w:rsid w:val="00465423"/>
    <w:rsid w:val="00470602"/>
    <w:rsid w:val="00471E8C"/>
    <w:rsid w:val="004727A9"/>
    <w:rsid w:val="004742DE"/>
    <w:rsid w:val="00474D66"/>
    <w:rsid w:val="00474EEC"/>
    <w:rsid w:val="004754C4"/>
    <w:rsid w:val="00477171"/>
    <w:rsid w:val="00480E4A"/>
    <w:rsid w:val="00483284"/>
    <w:rsid w:val="0048774C"/>
    <w:rsid w:val="00487C45"/>
    <w:rsid w:val="00487FFB"/>
    <w:rsid w:val="00490896"/>
    <w:rsid w:val="00491795"/>
    <w:rsid w:val="004918FA"/>
    <w:rsid w:val="00491BED"/>
    <w:rsid w:val="00491DBA"/>
    <w:rsid w:val="00496113"/>
    <w:rsid w:val="00496AA8"/>
    <w:rsid w:val="00496F16"/>
    <w:rsid w:val="004975AA"/>
    <w:rsid w:val="00497702"/>
    <w:rsid w:val="00497767"/>
    <w:rsid w:val="004A1861"/>
    <w:rsid w:val="004A2DBA"/>
    <w:rsid w:val="004A4349"/>
    <w:rsid w:val="004A537E"/>
    <w:rsid w:val="004A5AD5"/>
    <w:rsid w:val="004A5BF8"/>
    <w:rsid w:val="004A5E79"/>
    <w:rsid w:val="004A6227"/>
    <w:rsid w:val="004A74EA"/>
    <w:rsid w:val="004A7ED8"/>
    <w:rsid w:val="004B1C41"/>
    <w:rsid w:val="004B362D"/>
    <w:rsid w:val="004B3FC9"/>
    <w:rsid w:val="004B4234"/>
    <w:rsid w:val="004B594E"/>
    <w:rsid w:val="004C0547"/>
    <w:rsid w:val="004C0ACB"/>
    <w:rsid w:val="004C1845"/>
    <w:rsid w:val="004C276D"/>
    <w:rsid w:val="004C3625"/>
    <w:rsid w:val="004C4BF4"/>
    <w:rsid w:val="004C5095"/>
    <w:rsid w:val="004C5C1A"/>
    <w:rsid w:val="004C68CB"/>
    <w:rsid w:val="004C68EE"/>
    <w:rsid w:val="004D05BF"/>
    <w:rsid w:val="004D2D22"/>
    <w:rsid w:val="004D30E9"/>
    <w:rsid w:val="004D3CD2"/>
    <w:rsid w:val="004D42C6"/>
    <w:rsid w:val="004D73AE"/>
    <w:rsid w:val="004E172F"/>
    <w:rsid w:val="004E22B3"/>
    <w:rsid w:val="004E23A9"/>
    <w:rsid w:val="004E23BA"/>
    <w:rsid w:val="004E2C95"/>
    <w:rsid w:val="004E6C53"/>
    <w:rsid w:val="004E767B"/>
    <w:rsid w:val="004F0C9F"/>
    <w:rsid w:val="004F5E02"/>
    <w:rsid w:val="004F6B1B"/>
    <w:rsid w:val="00502BD0"/>
    <w:rsid w:val="005038B6"/>
    <w:rsid w:val="005040B7"/>
    <w:rsid w:val="005041E4"/>
    <w:rsid w:val="005042C4"/>
    <w:rsid w:val="00504B03"/>
    <w:rsid w:val="00505F3B"/>
    <w:rsid w:val="00506F16"/>
    <w:rsid w:val="00507A62"/>
    <w:rsid w:val="00507B34"/>
    <w:rsid w:val="00511AA6"/>
    <w:rsid w:val="005133A7"/>
    <w:rsid w:val="00513761"/>
    <w:rsid w:val="00513832"/>
    <w:rsid w:val="00513DAF"/>
    <w:rsid w:val="0051479D"/>
    <w:rsid w:val="00515D89"/>
    <w:rsid w:val="00516ABE"/>
    <w:rsid w:val="0051792B"/>
    <w:rsid w:val="005219C7"/>
    <w:rsid w:val="005230C3"/>
    <w:rsid w:val="005240A7"/>
    <w:rsid w:val="00524635"/>
    <w:rsid w:val="00526354"/>
    <w:rsid w:val="00531C43"/>
    <w:rsid w:val="00532300"/>
    <w:rsid w:val="00534677"/>
    <w:rsid w:val="00534AA7"/>
    <w:rsid w:val="00534AF0"/>
    <w:rsid w:val="0053637E"/>
    <w:rsid w:val="00536C0C"/>
    <w:rsid w:val="005403D7"/>
    <w:rsid w:val="0054118D"/>
    <w:rsid w:val="00541DD5"/>
    <w:rsid w:val="005422ED"/>
    <w:rsid w:val="0054279C"/>
    <w:rsid w:val="005435C0"/>
    <w:rsid w:val="00545E31"/>
    <w:rsid w:val="00546D98"/>
    <w:rsid w:val="00550154"/>
    <w:rsid w:val="005523AA"/>
    <w:rsid w:val="00557C74"/>
    <w:rsid w:val="00557E17"/>
    <w:rsid w:val="0056424F"/>
    <w:rsid w:val="0056494C"/>
    <w:rsid w:val="00567AD5"/>
    <w:rsid w:val="00570568"/>
    <w:rsid w:val="005721D6"/>
    <w:rsid w:val="00574FCF"/>
    <w:rsid w:val="0057528D"/>
    <w:rsid w:val="005755BE"/>
    <w:rsid w:val="00575696"/>
    <w:rsid w:val="00576530"/>
    <w:rsid w:val="0058359B"/>
    <w:rsid w:val="00583C40"/>
    <w:rsid w:val="00584215"/>
    <w:rsid w:val="00585BE5"/>
    <w:rsid w:val="005876EE"/>
    <w:rsid w:val="00590018"/>
    <w:rsid w:val="00593385"/>
    <w:rsid w:val="00595D26"/>
    <w:rsid w:val="005A02FB"/>
    <w:rsid w:val="005A2F77"/>
    <w:rsid w:val="005A3CD4"/>
    <w:rsid w:val="005A49FD"/>
    <w:rsid w:val="005A70C7"/>
    <w:rsid w:val="005B06A3"/>
    <w:rsid w:val="005B1513"/>
    <w:rsid w:val="005B398D"/>
    <w:rsid w:val="005B5901"/>
    <w:rsid w:val="005B679A"/>
    <w:rsid w:val="005B6F31"/>
    <w:rsid w:val="005B7311"/>
    <w:rsid w:val="005C01D5"/>
    <w:rsid w:val="005C06E3"/>
    <w:rsid w:val="005C2091"/>
    <w:rsid w:val="005C2C23"/>
    <w:rsid w:val="005C2E5F"/>
    <w:rsid w:val="005C2ECC"/>
    <w:rsid w:val="005C3B48"/>
    <w:rsid w:val="005C6251"/>
    <w:rsid w:val="005C6B52"/>
    <w:rsid w:val="005C7190"/>
    <w:rsid w:val="005D1B6E"/>
    <w:rsid w:val="005D2CD0"/>
    <w:rsid w:val="005D31AD"/>
    <w:rsid w:val="005D3320"/>
    <w:rsid w:val="005D3CC3"/>
    <w:rsid w:val="005D59F6"/>
    <w:rsid w:val="005E172F"/>
    <w:rsid w:val="005E23A2"/>
    <w:rsid w:val="005E3A57"/>
    <w:rsid w:val="005E440B"/>
    <w:rsid w:val="005E56B9"/>
    <w:rsid w:val="005E6A22"/>
    <w:rsid w:val="005E7044"/>
    <w:rsid w:val="005E7145"/>
    <w:rsid w:val="005E7277"/>
    <w:rsid w:val="005F11EE"/>
    <w:rsid w:val="005F144E"/>
    <w:rsid w:val="005F2713"/>
    <w:rsid w:val="005F49D7"/>
    <w:rsid w:val="00600ABB"/>
    <w:rsid w:val="006019D3"/>
    <w:rsid w:val="00602651"/>
    <w:rsid w:val="00604C91"/>
    <w:rsid w:val="00606D19"/>
    <w:rsid w:val="006077B5"/>
    <w:rsid w:val="006118FF"/>
    <w:rsid w:val="006140CC"/>
    <w:rsid w:val="0061793F"/>
    <w:rsid w:val="00620C10"/>
    <w:rsid w:val="00623A73"/>
    <w:rsid w:val="00623C01"/>
    <w:rsid w:val="006247C2"/>
    <w:rsid w:val="00631D1A"/>
    <w:rsid w:val="00637967"/>
    <w:rsid w:val="00637BD2"/>
    <w:rsid w:val="00640B48"/>
    <w:rsid w:val="00641222"/>
    <w:rsid w:val="00641FE6"/>
    <w:rsid w:val="00642515"/>
    <w:rsid w:val="00644B5A"/>
    <w:rsid w:val="00645B46"/>
    <w:rsid w:val="00646B73"/>
    <w:rsid w:val="00646BA4"/>
    <w:rsid w:val="00646E71"/>
    <w:rsid w:val="0065103C"/>
    <w:rsid w:val="00651C43"/>
    <w:rsid w:val="00652D17"/>
    <w:rsid w:val="0065524F"/>
    <w:rsid w:val="00656702"/>
    <w:rsid w:val="00656C0E"/>
    <w:rsid w:val="00662FDC"/>
    <w:rsid w:val="006645BB"/>
    <w:rsid w:val="00665CC0"/>
    <w:rsid w:val="00667E16"/>
    <w:rsid w:val="006708B5"/>
    <w:rsid w:val="00670DDA"/>
    <w:rsid w:val="006724DA"/>
    <w:rsid w:val="00672B13"/>
    <w:rsid w:val="0067323A"/>
    <w:rsid w:val="00673E30"/>
    <w:rsid w:val="00676C5C"/>
    <w:rsid w:val="00680FE2"/>
    <w:rsid w:val="00681675"/>
    <w:rsid w:val="006819F8"/>
    <w:rsid w:val="00682A68"/>
    <w:rsid w:val="00682E66"/>
    <w:rsid w:val="00684E80"/>
    <w:rsid w:val="0068588E"/>
    <w:rsid w:val="00686CAC"/>
    <w:rsid w:val="00696ED7"/>
    <w:rsid w:val="006A1536"/>
    <w:rsid w:val="006A3E69"/>
    <w:rsid w:val="006A56EA"/>
    <w:rsid w:val="006A6286"/>
    <w:rsid w:val="006A6F33"/>
    <w:rsid w:val="006B1F97"/>
    <w:rsid w:val="006B2343"/>
    <w:rsid w:val="006C3ACC"/>
    <w:rsid w:val="006C481F"/>
    <w:rsid w:val="006C518A"/>
    <w:rsid w:val="006C647D"/>
    <w:rsid w:val="006D00F8"/>
    <w:rsid w:val="006D0952"/>
    <w:rsid w:val="006D1A73"/>
    <w:rsid w:val="006D35EF"/>
    <w:rsid w:val="006D4253"/>
    <w:rsid w:val="006E02FA"/>
    <w:rsid w:val="006E3A34"/>
    <w:rsid w:val="006E782E"/>
    <w:rsid w:val="006F4663"/>
    <w:rsid w:val="006F5365"/>
    <w:rsid w:val="006F5936"/>
    <w:rsid w:val="006F78FC"/>
    <w:rsid w:val="006F7E84"/>
    <w:rsid w:val="00700C0C"/>
    <w:rsid w:val="007014FE"/>
    <w:rsid w:val="007042FF"/>
    <w:rsid w:val="00704ABD"/>
    <w:rsid w:val="00705875"/>
    <w:rsid w:val="00705A02"/>
    <w:rsid w:val="00706E4E"/>
    <w:rsid w:val="007106A1"/>
    <w:rsid w:val="00713575"/>
    <w:rsid w:val="00713968"/>
    <w:rsid w:val="007141EB"/>
    <w:rsid w:val="007145EF"/>
    <w:rsid w:val="00716A37"/>
    <w:rsid w:val="00725587"/>
    <w:rsid w:val="007269BE"/>
    <w:rsid w:val="00726D81"/>
    <w:rsid w:val="00727DB0"/>
    <w:rsid w:val="007301CB"/>
    <w:rsid w:val="007307AA"/>
    <w:rsid w:val="0073279D"/>
    <w:rsid w:val="00733A1E"/>
    <w:rsid w:val="0073636B"/>
    <w:rsid w:val="00736EB5"/>
    <w:rsid w:val="00742A69"/>
    <w:rsid w:val="007432C4"/>
    <w:rsid w:val="00744234"/>
    <w:rsid w:val="0075100E"/>
    <w:rsid w:val="0075123F"/>
    <w:rsid w:val="00751EA0"/>
    <w:rsid w:val="00753D48"/>
    <w:rsid w:val="00757AF4"/>
    <w:rsid w:val="0076235A"/>
    <w:rsid w:val="0076272A"/>
    <w:rsid w:val="00764FCB"/>
    <w:rsid w:val="00765036"/>
    <w:rsid w:val="00765CAD"/>
    <w:rsid w:val="007660DF"/>
    <w:rsid w:val="007663F8"/>
    <w:rsid w:val="00770036"/>
    <w:rsid w:val="00770990"/>
    <w:rsid w:val="007725B9"/>
    <w:rsid w:val="007745EC"/>
    <w:rsid w:val="007749A4"/>
    <w:rsid w:val="00774EAD"/>
    <w:rsid w:val="00774F07"/>
    <w:rsid w:val="00775FB3"/>
    <w:rsid w:val="007761FE"/>
    <w:rsid w:val="0077656F"/>
    <w:rsid w:val="00776A98"/>
    <w:rsid w:val="0077704A"/>
    <w:rsid w:val="00780C8E"/>
    <w:rsid w:val="007855CC"/>
    <w:rsid w:val="00785B87"/>
    <w:rsid w:val="007878BB"/>
    <w:rsid w:val="00790FE2"/>
    <w:rsid w:val="007911F0"/>
    <w:rsid w:val="0079132B"/>
    <w:rsid w:val="00792625"/>
    <w:rsid w:val="00792B42"/>
    <w:rsid w:val="00793652"/>
    <w:rsid w:val="00794D67"/>
    <w:rsid w:val="007969ED"/>
    <w:rsid w:val="00797C3D"/>
    <w:rsid w:val="007A059E"/>
    <w:rsid w:val="007A0CA8"/>
    <w:rsid w:val="007A2AE2"/>
    <w:rsid w:val="007A5752"/>
    <w:rsid w:val="007A5EC0"/>
    <w:rsid w:val="007A6C8E"/>
    <w:rsid w:val="007A7E51"/>
    <w:rsid w:val="007B0721"/>
    <w:rsid w:val="007B11FF"/>
    <w:rsid w:val="007B1753"/>
    <w:rsid w:val="007B5C6B"/>
    <w:rsid w:val="007C099C"/>
    <w:rsid w:val="007C11E6"/>
    <w:rsid w:val="007C2F75"/>
    <w:rsid w:val="007C541E"/>
    <w:rsid w:val="007D25D8"/>
    <w:rsid w:val="007D40ED"/>
    <w:rsid w:val="007D4392"/>
    <w:rsid w:val="007D5DA8"/>
    <w:rsid w:val="007D6332"/>
    <w:rsid w:val="007E2034"/>
    <w:rsid w:val="007E2601"/>
    <w:rsid w:val="007E351F"/>
    <w:rsid w:val="007E6865"/>
    <w:rsid w:val="007F0A1A"/>
    <w:rsid w:val="007F0C4B"/>
    <w:rsid w:val="007F3B8A"/>
    <w:rsid w:val="007F5544"/>
    <w:rsid w:val="008007DC"/>
    <w:rsid w:val="00800E95"/>
    <w:rsid w:val="00801D68"/>
    <w:rsid w:val="00804ECA"/>
    <w:rsid w:val="00805A32"/>
    <w:rsid w:val="00805C78"/>
    <w:rsid w:val="00806737"/>
    <w:rsid w:val="00811C04"/>
    <w:rsid w:val="008135A8"/>
    <w:rsid w:val="00813B1F"/>
    <w:rsid w:val="00814B1F"/>
    <w:rsid w:val="008154DD"/>
    <w:rsid w:val="0081551A"/>
    <w:rsid w:val="00817794"/>
    <w:rsid w:val="0082125A"/>
    <w:rsid w:val="00822229"/>
    <w:rsid w:val="0082365A"/>
    <w:rsid w:val="00823F75"/>
    <w:rsid w:val="0082430A"/>
    <w:rsid w:val="00825352"/>
    <w:rsid w:val="00826503"/>
    <w:rsid w:val="0082752F"/>
    <w:rsid w:val="008308A4"/>
    <w:rsid w:val="0083188C"/>
    <w:rsid w:val="00831A13"/>
    <w:rsid w:val="008329CF"/>
    <w:rsid w:val="00833260"/>
    <w:rsid w:val="008335D3"/>
    <w:rsid w:val="00835DA9"/>
    <w:rsid w:val="00836510"/>
    <w:rsid w:val="00837373"/>
    <w:rsid w:val="0083764A"/>
    <w:rsid w:val="00841085"/>
    <w:rsid w:val="00841BCB"/>
    <w:rsid w:val="00843E93"/>
    <w:rsid w:val="00845A5D"/>
    <w:rsid w:val="00845EAD"/>
    <w:rsid w:val="00845EFB"/>
    <w:rsid w:val="00851606"/>
    <w:rsid w:val="00852E92"/>
    <w:rsid w:val="00853F32"/>
    <w:rsid w:val="008562D9"/>
    <w:rsid w:val="00856A9A"/>
    <w:rsid w:val="00862244"/>
    <w:rsid w:val="00862389"/>
    <w:rsid w:val="00862EC8"/>
    <w:rsid w:val="00863509"/>
    <w:rsid w:val="00864B87"/>
    <w:rsid w:val="00865374"/>
    <w:rsid w:val="008653A2"/>
    <w:rsid w:val="008654D8"/>
    <w:rsid w:val="00870157"/>
    <w:rsid w:val="00874485"/>
    <w:rsid w:val="00875457"/>
    <w:rsid w:val="00877CD3"/>
    <w:rsid w:val="00877D92"/>
    <w:rsid w:val="0088073B"/>
    <w:rsid w:val="008838A5"/>
    <w:rsid w:val="00883B36"/>
    <w:rsid w:val="00883B70"/>
    <w:rsid w:val="00883C83"/>
    <w:rsid w:val="00884F2A"/>
    <w:rsid w:val="00896414"/>
    <w:rsid w:val="00896437"/>
    <w:rsid w:val="008A1197"/>
    <w:rsid w:val="008A198A"/>
    <w:rsid w:val="008A1B53"/>
    <w:rsid w:val="008A22B9"/>
    <w:rsid w:val="008A48BA"/>
    <w:rsid w:val="008B1C36"/>
    <w:rsid w:val="008B2A8B"/>
    <w:rsid w:val="008B2C93"/>
    <w:rsid w:val="008B4E52"/>
    <w:rsid w:val="008B52BD"/>
    <w:rsid w:val="008B65EF"/>
    <w:rsid w:val="008B689D"/>
    <w:rsid w:val="008B6A16"/>
    <w:rsid w:val="008B7DA0"/>
    <w:rsid w:val="008C034B"/>
    <w:rsid w:val="008C2020"/>
    <w:rsid w:val="008C222A"/>
    <w:rsid w:val="008C4280"/>
    <w:rsid w:val="008C52FD"/>
    <w:rsid w:val="008C573D"/>
    <w:rsid w:val="008C5ACE"/>
    <w:rsid w:val="008C5C67"/>
    <w:rsid w:val="008D026B"/>
    <w:rsid w:val="008D2429"/>
    <w:rsid w:val="008D3682"/>
    <w:rsid w:val="008D4A61"/>
    <w:rsid w:val="008D60F3"/>
    <w:rsid w:val="008D66A6"/>
    <w:rsid w:val="008E1E17"/>
    <w:rsid w:val="008E52A4"/>
    <w:rsid w:val="008E6B53"/>
    <w:rsid w:val="008E7C14"/>
    <w:rsid w:val="008F146F"/>
    <w:rsid w:val="008F1CE9"/>
    <w:rsid w:val="008F2069"/>
    <w:rsid w:val="008F26E6"/>
    <w:rsid w:val="008F3326"/>
    <w:rsid w:val="008F4316"/>
    <w:rsid w:val="008F48FF"/>
    <w:rsid w:val="008F5941"/>
    <w:rsid w:val="008F5DAE"/>
    <w:rsid w:val="008F6B56"/>
    <w:rsid w:val="008F740A"/>
    <w:rsid w:val="008F7741"/>
    <w:rsid w:val="00900333"/>
    <w:rsid w:val="0090058B"/>
    <w:rsid w:val="00900952"/>
    <w:rsid w:val="00900B9E"/>
    <w:rsid w:val="00900E14"/>
    <w:rsid w:val="00902D36"/>
    <w:rsid w:val="009059FF"/>
    <w:rsid w:val="00906369"/>
    <w:rsid w:val="0090798B"/>
    <w:rsid w:val="00910C1E"/>
    <w:rsid w:val="00910DBA"/>
    <w:rsid w:val="00911350"/>
    <w:rsid w:val="00912F05"/>
    <w:rsid w:val="00912F19"/>
    <w:rsid w:val="00912F6F"/>
    <w:rsid w:val="0091674B"/>
    <w:rsid w:val="009171D9"/>
    <w:rsid w:val="0092345C"/>
    <w:rsid w:val="0092425F"/>
    <w:rsid w:val="009251F6"/>
    <w:rsid w:val="00926650"/>
    <w:rsid w:val="009301FF"/>
    <w:rsid w:val="00930EB0"/>
    <w:rsid w:val="009321A2"/>
    <w:rsid w:val="00932704"/>
    <w:rsid w:val="00932EDF"/>
    <w:rsid w:val="00933866"/>
    <w:rsid w:val="00933F42"/>
    <w:rsid w:val="0093637F"/>
    <w:rsid w:val="009375D0"/>
    <w:rsid w:val="009423A7"/>
    <w:rsid w:val="00945902"/>
    <w:rsid w:val="00946973"/>
    <w:rsid w:val="00946B26"/>
    <w:rsid w:val="00946D65"/>
    <w:rsid w:val="00946E5B"/>
    <w:rsid w:val="009476C5"/>
    <w:rsid w:val="00950BD0"/>
    <w:rsid w:val="00950C2B"/>
    <w:rsid w:val="00951B4B"/>
    <w:rsid w:val="00951F73"/>
    <w:rsid w:val="0095209A"/>
    <w:rsid w:val="00952957"/>
    <w:rsid w:val="00955C58"/>
    <w:rsid w:val="009566B8"/>
    <w:rsid w:val="00957033"/>
    <w:rsid w:val="00960337"/>
    <w:rsid w:val="009603F3"/>
    <w:rsid w:val="00961F38"/>
    <w:rsid w:val="00962640"/>
    <w:rsid w:val="00963161"/>
    <w:rsid w:val="009637AC"/>
    <w:rsid w:val="00964287"/>
    <w:rsid w:val="00966179"/>
    <w:rsid w:val="00966347"/>
    <w:rsid w:val="00967567"/>
    <w:rsid w:val="00970458"/>
    <w:rsid w:val="00970D25"/>
    <w:rsid w:val="0097115E"/>
    <w:rsid w:val="00973693"/>
    <w:rsid w:val="00973B7B"/>
    <w:rsid w:val="009769F5"/>
    <w:rsid w:val="0097773F"/>
    <w:rsid w:val="00981086"/>
    <w:rsid w:val="00982FC6"/>
    <w:rsid w:val="009838BD"/>
    <w:rsid w:val="009854C6"/>
    <w:rsid w:val="00986F6A"/>
    <w:rsid w:val="009878CE"/>
    <w:rsid w:val="009879DA"/>
    <w:rsid w:val="00987E52"/>
    <w:rsid w:val="009907F6"/>
    <w:rsid w:val="00992076"/>
    <w:rsid w:val="00993D8A"/>
    <w:rsid w:val="009A0E32"/>
    <w:rsid w:val="009A49C8"/>
    <w:rsid w:val="009A54AE"/>
    <w:rsid w:val="009A5B2D"/>
    <w:rsid w:val="009A7190"/>
    <w:rsid w:val="009B15FB"/>
    <w:rsid w:val="009B1E14"/>
    <w:rsid w:val="009B51D5"/>
    <w:rsid w:val="009B5D81"/>
    <w:rsid w:val="009B5F3E"/>
    <w:rsid w:val="009B71DC"/>
    <w:rsid w:val="009B7798"/>
    <w:rsid w:val="009B795A"/>
    <w:rsid w:val="009B798A"/>
    <w:rsid w:val="009C10AC"/>
    <w:rsid w:val="009C180D"/>
    <w:rsid w:val="009C6539"/>
    <w:rsid w:val="009C7AE3"/>
    <w:rsid w:val="009C7FEC"/>
    <w:rsid w:val="009D080E"/>
    <w:rsid w:val="009D11E1"/>
    <w:rsid w:val="009D1938"/>
    <w:rsid w:val="009D1A42"/>
    <w:rsid w:val="009D403F"/>
    <w:rsid w:val="009D5ABF"/>
    <w:rsid w:val="009D7B92"/>
    <w:rsid w:val="009E2F98"/>
    <w:rsid w:val="009E3CE7"/>
    <w:rsid w:val="009E3D55"/>
    <w:rsid w:val="009E3F7A"/>
    <w:rsid w:val="009E623E"/>
    <w:rsid w:val="009E6546"/>
    <w:rsid w:val="009F08DA"/>
    <w:rsid w:val="009F099C"/>
    <w:rsid w:val="009F2812"/>
    <w:rsid w:val="009F3277"/>
    <w:rsid w:val="009F43B3"/>
    <w:rsid w:val="009F6387"/>
    <w:rsid w:val="009F74DA"/>
    <w:rsid w:val="009F78CE"/>
    <w:rsid w:val="00A00643"/>
    <w:rsid w:val="00A04975"/>
    <w:rsid w:val="00A04A8F"/>
    <w:rsid w:val="00A07D38"/>
    <w:rsid w:val="00A07D7B"/>
    <w:rsid w:val="00A10E71"/>
    <w:rsid w:val="00A11EE8"/>
    <w:rsid w:val="00A12DC2"/>
    <w:rsid w:val="00A14382"/>
    <w:rsid w:val="00A1487B"/>
    <w:rsid w:val="00A158A4"/>
    <w:rsid w:val="00A16A05"/>
    <w:rsid w:val="00A16A37"/>
    <w:rsid w:val="00A215E8"/>
    <w:rsid w:val="00A21F6D"/>
    <w:rsid w:val="00A22123"/>
    <w:rsid w:val="00A275A5"/>
    <w:rsid w:val="00A31040"/>
    <w:rsid w:val="00A31872"/>
    <w:rsid w:val="00A33269"/>
    <w:rsid w:val="00A34939"/>
    <w:rsid w:val="00A34958"/>
    <w:rsid w:val="00A3632E"/>
    <w:rsid w:val="00A37A24"/>
    <w:rsid w:val="00A41F73"/>
    <w:rsid w:val="00A43759"/>
    <w:rsid w:val="00A438AD"/>
    <w:rsid w:val="00A43C24"/>
    <w:rsid w:val="00A4460C"/>
    <w:rsid w:val="00A44C7C"/>
    <w:rsid w:val="00A459CE"/>
    <w:rsid w:val="00A47174"/>
    <w:rsid w:val="00A50320"/>
    <w:rsid w:val="00A518A5"/>
    <w:rsid w:val="00A538B6"/>
    <w:rsid w:val="00A54CBB"/>
    <w:rsid w:val="00A61E5F"/>
    <w:rsid w:val="00A6324A"/>
    <w:rsid w:val="00A67A00"/>
    <w:rsid w:val="00A67EC9"/>
    <w:rsid w:val="00A71A5E"/>
    <w:rsid w:val="00A73325"/>
    <w:rsid w:val="00A74956"/>
    <w:rsid w:val="00A74F6C"/>
    <w:rsid w:val="00A774B0"/>
    <w:rsid w:val="00A82093"/>
    <w:rsid w:val="00A8308E"/>
    <w:rsid w:val="00A8510D"/>
    <w:rsid w:val="00A855E0"/>
    <w:rsid w:val="00A8743F"/>
    <w:rsid w:val="00A90023"/>
    <w:rsid w:val="00A907AB"/>
    <w:rsid w:val="00A90EBD"/>
    <w:rsid w:val="00A91CB3"/>
    <w:rsid w:val="00A930E0"/>
    <w:rsid w:val="00A9319B"/>
    <w:rsid w:val="00A9419F"/>
    <w:rsid w:val="00A968C1"/>
    <w:rsid w:val="00A9757C"/>
    <w:rsid w:val="00AA12D9"/>
    <w:rsid w:val="00AA3640"/>
    <w:rsid w:val="00AA37A7"/>
    <w:rsid w:val="00AA37F7"/>
    <w:rsid w:val="00AA3A03"/>
    <w:rsid w:val="00AA4ADB"/>
    <w:rsid w:val="00AA6176"/>
    <w:rsid w:val="00AA6FFC"/>
    <w:rsid w:val="00AA795B"/>
    <w:rsid w:val="00AB2153"/>
    <w:rsid w:val="00AB39D6"/>
    <w:rsid w:val="00AB73FD"/>
    <w:rsid w:val="00AC2A59"/>
    <w:rsid w:val="00AC3847"/>
    <w:rsid w:val="00AC453E"/>
    <w:rsid w:val="00AC5A51"/>
    <w:rsid w:val="00AC664B"/>
    <w:rsid w:val="00AD0E2A"/>
    <w:rsid w:val="00AD1316"/>
    <w:rsid w:val="00AD17B8"/>
    <w:rsid w:val="00AD2440"/>
    <w:rsid w:val="00AD2FAB"/>
    <w:rsid w:val="00AD3C76"/>
    <w:rsid w:val="00AD3E0F"/>
    <w:rsid w:val="00AD3F7C"/>
    <w:rsid w:val="00AD7741"/>
    <w:rsid w:val="00AE0CF6"/>
    <w:rsid w:val="00AE0E62"/>
    <w:rsid w:val="00AE306A"/>
    <w:rsid w:val="00AE5F5B"/>
    <w:rsid w:val="00AF071C"/>
    <w:rsid w:val="00AF36C5"/>
    <w:rsid w:val="00AF4566"/>
    <w:rsid w:val="00AF59A5"/>
    <w:rsid w:val="00AF5A5F"/>
    <w:rsid w:val="00AF5A96"/>
    <w:rsid w:val="00AF645B"/>
    <w:rsid w:val="00AF6771"/>
    <w:rsid w:val="00AF7FA8"/>
    <w:rsid w:val="00B000B1"/>
    <w:rsid w:val="00B00631"/>
    <w:rsid w:val="00B00B01"/>
    <w:rsid w:val="00B02C54"/>
    <w:rsid w:val="00B03B9D"/>
    <w:rsid w:val="00B04A07"/>
    <w:rsid w:val="00B05BCA"/>
    <w:rsid w:val="00B05DE4"/>
    <w:rsid w:val="00B06D88"/>
    <w:rsid w:val="00B078ED"/>
    <w:rsid w:val="00B10E46"/>
    <w:rsid w:val="00B13625"/>
    <w:rsid w:val="00B13F71"/>
    <w:rsid w:val="00B14927"/>
    <w:rsid w:val="00B14EDA"/>
    <w:rsid w:val="00B154A2"/>
    <w:rsid w:val="00B16279"/>
    <w:rsid w:val="00B16515"/>
    <w:rsid w:val="00B17654"/>
    <w:rsid w:val="00B17F8B"/>
    <w:rsid w:val="00B20FAE"/>
    <w:rsid w:val="00B21BE1"/>
    <w:rsid w:val="00B24DC5"/>
    <w:rsid w:val="00B24ECF"/>
    <w:rsid w:val="00B262BD"/>
    <w:rsid w:val="00B27CCA"/>
    <w:rsid w:val="00B31E19"/>
    <w:rsid w:val="00B32050"/>
    <w:rsid w:val="00B335F9"/>
    <w:rsid w:val="00B34555"/>
    <w:rsid w:val="00B3563E"/>
    <w:rsid w:val="00B356B4"/>
    <w:rsid w:val="00B36381"/>
    <w:rsid w:val="00B407CB"/>
    <w:rsid w:val="00B409E2"/>
    <w:rsid w:val="00B42E97"/>
    <w:rsid w:val="00B44E62"/>
    <w:rsid w:val="00B44F87"/>
    <w:rsid w:val="00B45713"/>
    <w:rsid w:val="00B45770"/>
    <w:rsid w:val="00B4761D"/>
    <w:rsid w:val="00B55819"/>
    <w:rsid w:val="00B56438"/>
    <w:rsid w:val="00B56AE8"/>
    <w:rsid w:val="00B57EA1"/>
    <w:rsid w:val="00B61F88"/>
    <w:rsid w:val="00B6269A"/>
    <w:rsid w:val="00B63EB5"/>
    <w:rsid w:val="00B653FA"/>
    <w:rsid w:val="00B712E6"/>
    <w:rsid w:val="00B71841"/>
    <w:rsid w:val="00B71846"/>
    <w:rsid w:val="00B72CBD"/>
    <w:rsid w:val="00B73966"/>
    <w:rsid w:val="00B739DB"/>
    <w:rsid w:val="00B74FAE"/>
    <w:rsid w:val="00B7507F"/>
    <w:rsid w:val="00B76B14"/>
    <w:rsid w:val="00B80CD7"/>
    <w:rsid w:val="00B81527"/>
    <w:rsid w:val="00B82365"/>
    <w:rsid w:val="00B84B7B"/>
    <w:rsid w:val="00B84CE8"/>
    <w:rsid w:val="00B853BA"/>
    <w:rsid w:val="00B86E34"/>
    <w:rsid w:val="00B87E49"/>
    <w:rsid w:val="00B920DD"/>
    <w:rsid w:val="00B931FD"/>
    <w:rsid w:val="00B93D2C"/>
    <w:rsid w:val="00B96B48"/>
    <w:rsid w:val="00B97A5C"/>
    <w:rsid w:val="00BA041F"/>
    <w:rsid w:val="00BA0895"/>
    <w:rsid w:val="00BA16C1"/>
    <w:rsid w:val="00BA5E7C"/>
    <w:rsid w:val="00BA707D"/>
    <w:rsid w:val="00BA7242"/>
    <w:rsid w:val="00BB0361"/>
    <w:rsid w:val="00BB0381"/>
    <w:rsid w:val="00BB0785"/>
    <w:rsid w:val="00BB1F72"/>
    <w:rsid w:val="00BB3450"/>
    <w:rsid w:val="00BB588B"/>
    <w:rsid w:val="00BB6276"/>
    <w:rsid w:val="00BB7485"/>
    <w:rsid w:val="00BC3059"/>
    <w:rsid w:val="00BC3547"/>
    <w:rsid w:val="00BC7CB3"/>
    <w:rsid w:val="00BC7D57"/>
    <w:rsid w:val="00BD0008"/>
    <w:rsid w:val="00BD0C1F"/>
    <w:rsid w:val="00BD15BC"/>
    <w:rsid w:val="00BD1654"/>
    <w:rsid w:val="00BD21C0"/>
    <w:rsid w:val="00BD4D23"/>
    <w:rsid w:val="00BD5BE7"/>
    <w:rsid w:val="00BD6B30"/>
    <w:rsid w:val="00BE1DE9"/>
    <w:rsid w:val="00BE2FB0"/>
    <w:rsid w:val="00BE37AE"/>
    <w:rsid w:val="00BE41DE"/>
    <w:rsid w:val="00BE786C"/>
    <w:rsid w:val="00BE7FF0"/>
    <w:rsid w:val="00BF49A3"/>
    <w:rsid w:val="00BF52A2"/>
    <w:rsid w:val="00BF5EDA"/>
    <w:rsid w:val="00BF650A"/>
    <w:rsid w:val="00BF74F8"/>
    <w:rsid w:val="00C01289"/>
    <w:rsid w:val="00C02711"/>
    <w:rsid w:val="00C02714"/>
    <w:rsid w:val="00C0455E"/>
    <w:rsid w:val="00C0522E"/>
    <w:rsid w:val="00C05890"/>
    <w:rsid w:val="00C0631F"/>
    <w:rsid w:val="00C06E9E"/>
    <w:rsid w:val="00C07417"/>
    <w:rsid w:val="00C07537"/>
    <w:rsid w:val="00C07CFA"/>
    <w:rsid w:val="00C10BE7"/>
    <w:rsid w:val="00C11427"/>
    <w:rsid w:val="00C11C70"/>
    <w:rsid w:val="00C122AB"/>
    <w:rsid w:val="00C126EF"/>
    <w:rsid w:val="00C15BDC"/>
    <w:rsid w:val="00C17649"/>
    <w:rsid w:val="00C176E7"/>
    <w:rsid w:val="00C17A4F"/>
    <w:rsid w:val="00C2340E"/>
    <w:rsid w:val="00C2589B"/>
    <w:rsid w:val="00C27D97"/>
    <w:rsid w:val="00C30ECE"/>
    <w:rsid w:val="00C31278"/>
    <w:rsid w:val="00C3373F"/>
    <w:rsid w:val="00C3544A"/>
    <w:rsid w:val="00C3614E"/>
    <w:rsid w:val="00C36721"/>
    <w:rsid w:val="00C379BB"/>
    <w:rsid w:val="00C40401"/>
    <w:rsid w:val="00C41326"/>
    <w:rsid w:val="00C4219E"/>
    <w:rsid w:val="00C5016D"/>
    <w:rsid w:val="00C50237"/>
    <w:rsid w:val="00C50A0E"/>
    <w:rsid w:val="00C516AB"/>
    <w:rsid w:val="00C530F6"/>
    <w:rsid w:val="00C536D6"/>
    <w:rsid w:val="00C54634"/>
    <w:rsid w:val="00C55BA0"/>
    <w:rsid w:val="00C60850"/>
    <w:rsid w:val="00C631E1"/>
    <w:rsid w:val="00C63E6F"/>
    <w:rsid w:val="00C64A0C"/>
    <w:rsid w:val="00C64DEF"/>
    <w:rsid w:val="00C666DF"/>
    <w:rsid w:val="00C6726C"/>
    <w:rsid w:val="00C67EC7"/>
    <w:rsid w:val="00C7063D"/>
    <w:rsid w:val="00C71037"/>
    <w:rsid w:val="00C71C8A"/>
    <w:rsid w:val="00C720AB"/>
    <w:rsid w:val="00C72F91"/>
    <w:rsid w:val="00C749E9"/>
    <w:rsid w:val="00C75AFC"/>
    <w:rsid w:val="00C76619"/>
    <w:rsid w:val="00C80E82"/>
    <w:rsid w:val="00C8251D"/>
    <w:rsid w:val="00C82959"/>
    <w:rsid w:val="00C85674"/>
    <w:rsid w:val="00C85D44"/>
    <w:rsid w:val="00C85EEB"/>
    <w:rsid w:val="00C86881"/>
    <w:rsid w:val="00C875ED"/>
    <w:rsid w:val="00C9072D"/>
    <w:rsid w:val="00C9092F"/>
    <w:rsid w:val="00C9360E"/>
    <w:rsid w:val="00C938E7"/>
    <w:rsid w:val="00C942C4"/>
    <w:rsid w:val="00C97E34"/>
    <w:rsid w:val="00CA244F"/>
    <w:rsid w:val="00CA2704"/>
    <w:rsid w:val="00CA395B"/>
    <w:rsid w:val="00CA563B"/>
    <w:rsid w:val="00CA5EB5"/>
    <w:rsid w:val="00CA6C87"/>
    <w:rsid w:val="00CA73CE"/>
    <w:rsid w:val="00CA78FD"/>
    <w:rsid w:val="00CA7F62"/>
    <w:rsid w:val="00CB0632"/>
    <w:rsid w:val="00CB2609"/>
    <w:rsid w:val="00CB30DE"/>
    <w:rsid w:val="00CB3514"/>
    <w:rsid w:val="00CB3F9B"/>
    <w:rsid w:val="00CB6198"/>
    <w:rsid w:val="00CC0010"/>
    <w:rsid w:val="00CC0F74"/>
    <w:rsid w:val="00CC2F67"/>
    <w:rsid w:val="00CC353F"/>
    <w:rsid w:val="00CC6A0E"/>
    <w:rsid w:val="00CC6D88"/>
    <w:rsid w:val="00CC7857"/>
    <w:rsid w:val="00CD1049"/>
    <w:rsid w:val="00CD2D22"/>
    <w:rsid w:val="00CD38FC"/>
    <w:rsid w:val="00CD4947"/>
    <w:rsid w:val="00CD5854"/>
    <w:rsid w:val="00CE0E53"/>
    <w:rsid w:val="00CE25DB"/>
    <w:rsid w:val="00CE3C4B"/>
    <w:rsid w:val="00CE6D86"/>
    <w:rsid w:val="00CE7B41"/>
    <w:rsid w:val="00CF063C"/>
    <w:rsid w:val="00CF08DE"/>
    <w:rsid w:val="00CF2693"/>
    <w:rsid w:val="00CF39C4"/>
    <w:rsid w:val="00CF5406"/>
    <w:rsid w:val="00CF690A"/>
    <w:rsid w:val="00CF6D00"/>
    <w:rsid w:val="00D0055F"/>
    <w:rsid w:val="00D02455"/>
    <w:rsid w:val="00D04039"/>
    <w:rsid w:val="00D058BF"/>
    <w:rsid w:val="00D0774F"/>
    <w:rsid w:val="00D10397"/>
    <w:rsid w:val="00D10A25"/>
    <w:rsid w:val="00D10D4D"/>
    <w:rsid w:val="00D14512"/>
    <w:rsid w:val="00D14FD3"/>
    <w:rsid w:val="00D161C4"/>
    <w:rsid w:val="00D16337"/>
    <w:rsid w:val="00D174CD"/>
    <w:rsid w:val="00D17ADA"/>
    <w:rsid w:val="00D20C62"/>
    <w:rsid w:val="00D22403"/>
    <w:rsid w:val="00D22C53"/>
    <w:rsid w:val="00D22CBE"/>
    <w:rsid w:val="00D23E73"/>
    <w:rsid w:val="00D24B9C"/>
    <w:rsid w:val="00D26C47"/>
    <w:rsid w:val="00D3091D"/>
    <w:rsid w:val="00D3101F"/>
    <w:rsid w:val="00D33FB3"/>
    <w:rsid w:val="00D35EB2"/>
    <w:rsid w:val="00D3603F"/>
    <w:rsid w:val="00D3635C"/>
    <w:rsid w:val="00D36EB4"/>
    <w:rsid w:val="00D37F32"/>
    <w:rsid w:val="00D42B45"/>
    <w:rsid w:val="00D4455A"/>
    <w:rsid w:val="00D46DB5"/>
    <w:rsid w:val="00D47ADB"/>
    <w:rsid w:val="00D50192"/>
    <w:rsid w:val="00D516A8"/>
    <w:rsid w:val="00D5545C"/>
    <w:rsid w:val="00D55CB6"/>
    <w:rsid w:val="00D562B8"/>
    <w:rsid w:val="00D56601"/>
    <w:rsid w:val="00D605CC"/>
    <w:rsid w:val="00D62249"/>
    <w:rsid w:val="00D623A5"/>
    <w:rsid w:val="00D63271"/>
    <w:rsid w:val="00D652F1"/>
    <w:rsid w:val="00D662A9"/>
    <w:rsid w:val="00D665C3"/>
    <w:rsid w:val="00D67612"/>
    <w:rsid w:val="00D67B9B"/>
    <w:rsid w:val="00D67FF6"/>
    <w:rsid w:val="00D701AE"/>
    <w:rsid w:val="00D70A81"/>
    <w:rsid w:val="00D70BEE"/>
    <w:rsid w:val="00D71C77"/>
    <w:rsid w:val="00D75851"/>
    <w:rsid w:val="00D80CA2"/>
    <w:rsid w:val="00D83096"/>
    <w:rsid w:val="00D849AB"/>
    <w:rsid w:val="00D84B4E"/>
    <w:rsid w:val="00D84F2C"/>
    <w:rsid w:val="00D8659D"/>
    <w:rsid w:val="00D90F26"/>
    <w:rsid w:val="00D91A0C"/>
    <w:rsid w:val="00D92C32"/>
    <w:rsid w:val="00D92FF8"/>
    <w:rsid w:val="00D94FC5"/>
    <w:rsid w:val="00D95058"/>
    <w:rsid w:val="00D96E32"/>
    <w:rsid w:val="00D96FCB"/>
    <w:rsid w:val="00D970F2"/>
    <w:rsid w:val="00D9777C"/>
    <w:rsid w:val="00DA154B"/>
    <w:rsid w:val="00DA3B5A"/>
    <w:rsid w:val="00DA404F"/>
    <w:rsid w:val="00DA4272"/>
    <w:rsid w:val="00DA574E"/>
    <w:rsid w:val="00DA58AA"/>
    <w:rsid w:val="00DA5DC1"/>
    <w:rsid w:val="00DA5F27"/>
    <w:rsid w:val="00DA65ED"/>
    <w:rsid w:val="00DA744B"/>
    <w:rsid w:val="00DA7D66"/>
    <w:rsid w:val="00DB2AF9"/>
    <w:rsid w:val="00DB33B8"/>
    <w:rsid w:val="00DB41ED"/>
    <w:rsid w:val="00DB4B6D"/>
    <w:rsid w:val="00DB4D81"/>
    <w:rsid w:val="00DB4E77"/>
    <w:rsid w:val="00DB5DB2"/>
    <w:rsid w:val="00DC1883"/>
    <w:rsid w:val="00DC3256"/>
    <w:rsid w:val="00DC3E18"/>
    <w:rsid w:val="00DC48D0"/>
    <w:rsid w:val="00DC5602"/>
    <w:rsid w:val="00DD030E"/>
    <w:rsid w:val="00DD38C7"/>
    <w:rsid w:val="00DD4D69"/>
    <w:rsid w:val="00DD642C"/>
    <w:rsid w:val="00DD65CE"/>
    <w:rsid w:val="00DD6DBD"/>
    <w:rsid w:val="00DD6F00"/>
    <w:rsid w:val="00DD6FD7"/>
    <w:rsid w:val="00DD76F4"/>
    <w:rsid w:val="00DD7BB0"/>
    <w:rsid w:val="00DD7F2E"/>
    <w:rsid w:val="00DE00F0"/>
    <w:rsid w:val="00DE1454"/>
    <w:rsid w:val="00DE2776"/>
    <w:rsid w:val="00DE2C4F"/>
    <w:rsid w:val="00DE665C"/>
    <w:rsid w:val="00DE69A5"/>
    <w:rsid w:val="00DE76A5"/>
    <w:rsid w:val="00DE76F9"/>
    <w:rsid w:val="00DE7AE1"/>
    <w:rsid w:val="00DE7C81"/>
    <w:rsid w:val="00DF03AB"/>
    <w:rsid w:val="00DF085C"/>
    <w:rsid w:val="00DF13D0"/>
    <w:rsid w:val="00DF208C"/>
    <w:rsid w:val="00DF4AED"/>
    <w:rsid w:val="00DF628F"/>
    <w:rsid w:val="00DF7572"/>
    <w:rsid w:val="00DF7DB2"/>
    <w:rsid w:val="00E01B62"/>
    <w:rsid w:val="00E0295D"/>
    <w:rsid w:val="00E0403E"/>
    <w:rsid w:val="00E044F6"/>
    <w:rsid w:val="00E050B5"/>
    <w:rsid w:val="00E0519D"/>
    <w:rsid w:val="00E0545B"/>
    <w:rsid w:val="00E0666B"/>
    <w:rsid w:val="00E0692B"/>
    <w:rsid w:val="00E07C1C"/>
    <w:rsid w:val="00E10C74"/>
    <w:rsid w:val="00E11C9F"/>
    <w:rsid w:val="00E123CE"/>
    <w:rsid w:val="00E1346C"/>
    <w:rsid w:val="00E14429"/>
    <w:rsid w:val="00E152FE"/>
    <w:rsid w:val="00E1605D"/>
    <w:rsid w:val="00E20F82"/>
    <w:rsid w:val="00E21C88"/>
    <w:rsid w:val="00E21F51"/>
    <w:rsid w:val="00E2205A"/>
    <w:rsid w:val="00E22E63"/>
    <w:rsid w:val="00E23A4F"/>
    <w:rsid w:val="00E252D5"/>
    <w:rsid w:val="00E25EDD"/>
    <w:rsid w:val="00E2753B"/>
    <w:rsid w:val="00E34181"/>
    <w:rsid w:val="00E35DC1"/>
    <w:rsid w:val="00E41504"/>
    <w:rsid w:val="00E437C9"/>
    <w:rsid w:val="00E43CE2"/>
    <w:rsid w:val="00E44823"/>
    <w:rsid w:val="00E44B18"/>
    <w:rsid w:val="00E470AA"/>
    <w:rsid w:val="00E473E8"/>
    <w:rsid w:val="00E47E18"/>
    <w:rsid w:val="00E50556"/>
    <w:rsid w:val="00E52EC3"/>
    <w:rsid w:val="00E530DF"/>
    <w:rsid w:val="00E53130"/>
    <w:rsid w:val="00E55006"/>
    <w:rsid w:val="00E5656D"/>
    <w:rsid w:val="00E57543"/>
    <w:rsid w:val="00E6125F"/>
    <w:rsid w:val="00E62015"/>
    <w:rsid w:val="00E7265F"/>
    <w:rsid w:val="00E76B30"/>
    <w:rsid w:val="00E80E3E"/>
    <w:rsid w:val="00E81F01"/>
    <w:rsid w:val="00E82910"/>
    <w:rsid w:val="00E835C3"/>
    <w:rsid w:val="00E84595"/>
    <w:rsid w:val="00E84D73"/>
    <w:rsid w:val="00E8688A"/>
    <w:rsid w:val="00E870B3"/>
    <w:rsid w:val="00E90A53"/>
    <w:rsid w:val="00E90B99"/>
    <w:rsid w:val="00E910A4"/>
    <w:rsid w:val="00E91A93"/>
    <w:rsid w:val="00E9419B"/>
    <w:rsid w:val="00E94901"/>
    <w:rsid w:val="00E97202"/>
    <w:rsid w:val="00EA07F6"/>
    <w:rsid w:val="00EA0A72"/>
    <w:rsid w:val="00EA0FE9"/>
    <w:rsid w:val="00EA3687"/>
    <w:rsid w:val="00EA3E42"/>
    <w:rsid w:val="00EA5925"/>
    <w:rsid w:val="00EA5C3B"/>
    <w:rsid w:val="00EB0E63"/>
    <w:rsid w:val="00EB220F"/>
    <w:rsid w:val="00EB2D08"/>
    <w:rsid w:val="00EB390F"/>
    <w:rsid w:val="00EB4951"/>
    <w:rsid w:val="00EB754F"/>
    <w:rsid w:val="00EB7B45"/>
    <w:rsid w:val="00EC0D34"/>
    <w:rsid w:val="00EC1BF7"/>
    <w:rsid w:val="00EC1D59"/>
    <w:rsid w:val="00EC2B3C"/>
    <w:rsid w:val="00EC2BDF"/>
    <w:rsid w:val="00EC4230"/>
    <w:rsid w:val="00EC496B"/>
    <w:rsid w:val="00EC4E90"/>
    <w:rsid w:val="00ED0163"/>
    <w:rsid w:val="00ED0680"/>
    <w:rsid w:val="00ED28A9"/>
    <w:rsid w:val="00ED35D3"/>
    <w:rsid w:val="00ED37A4"/>
    <w:rsid w:val="00ED37F9"/>
    <w:rsid w:val="00ED49D0"/>
    <w:rsid w:val="00ED5837"/>
    <w:rsid w:val="00ED59ED"/>
    <w:rsid w:val="00ED76A3"/>
    <w:rsid w:val="00ED7A99"/>
    <w:rsid w:val="00EE0C44"/>
    <w:rsid w:val="00EE307E"/>
    <w:rsid w:val="00EE5AA8"/>
    <w:rsid w:val="00EE69E1"/>
    <w:rsid w:val="00EF0268"/>
    <w:rsid w:val="00EF1BF3"/>
    <w:rsid w:val="00EF3259"/>
    <w:rsid w:val="00EF4490"/>
    <w:rsid w:val="00EF49B7"/>
    <w:rsid w:val="00EF52F3"/>
    <w:rsid w:val="00EF53BF"/>
    <w:rsid w:val="00EF5814"/>
    <w:rsid w:val="00EF5C55"/>
    <w:rsid w:val="00EF5FC0"/>
    <w:rsid w:val="00EF7179"/>
    <w:rsid w:val="00EF77E0"/>
    <w:rsid w:val="00F012D1"/>
    <w:rsid w:val="00F01D8B"/>
    <w:rsid w:val="00F02D48"/>
    <w:rsid w:val="00F033CC"/>
    <w:rsid w:val="00F05E0C"/>
    <w:rsid w:val="00F113DD"/>
    <w:rsid w:val="00F11458"/>
    <w:rsid w:val="00F116AB"/>
    <w:rsid w:val="00F11E9C"/>
    <w:rsid w:val="00F149E2"/>
    <w:rsid w:val="00F16A39"/>
    <w:rsid w:val="00F16B24"/>
    <w:rsid w:val="00F17F03"/>
    <w:rsid w:val="00F20A74"/>
    <w:rsid w:val="00F21017"/>
    <w:rsid w:val="00F223DE"/>
    <w:rsid w:val="00F2247F"/>
    <w:rsid w:val="00F2286C"/>
    <w:rsid w:val="00F22A09"/>
    <w:rsid w:val="00F23495"/>
    <w:rsid w:val="00F24C4F"/>
    <w:rsid w:val="00F278FC"/>
    <w:rsid w:val="00F32CFF"/>
    <w:rsid w:val="00F34239"/>
    <w:rsid w:val="00F345AA"/>
    <w:rsid w:val="00F358BF"/>
    <w:rsid w:val="00F35C94"/>
    <w:rsid w:val="00F36B05"/>
    <w:rsid w:val="00F37839"/>
    <w:rsid w:val="00F416B4"/>
    <w:rsid w:val="00F42576"/>
    <w:rsid w:val="00F42F9D"/>
    <w:rsid w:val="00F46351"/>
    <w:rsid w:val="00F50D04"/>
    <w:rsid w:val="00F50D42"/>
    <w:rsid w:val="00F50F05"/>
    <w:rsid w:val="00F52919"/>
    <w:rsid w:val="00F537DE"/>
    <w:rsid w:val="00F53E54"/>
    <w:rsid w:val="00F54150"/>
    <w:rsid w:val="00F57D9B"/>
    <w:rsid w:val="00F63B92"/>
    <w:rsid w:val="00F63C2E"/>
    <w:rsid w:val="00F63F58"/>
    <w:rsid w:val="00F63FA0"/>
    <w:rsid w:val="00F66F5C"/>
    <w:rsid w:val="00F6706D"/>
    <w:rsid w:val="00F67580"/>
    <w:rsid w:val="00F72BC7"/>
    <w:rsid w:val="00F74370"/>
    <w:rsid w:val="00F74405"/>
    <w:rsid w:val="00F74B7C"/>
    <w:rsid w:val="00F74C77"/>
    <w:rsid w:val="00F74E7D"/>
    <w:rsid w:val="00F82FD9"/>
    <w:rsid w:val="00F848EC"/>
    <w:rsid w:val="00F85DCA"/>
    <w:rsid w:val="00F86C14"/>
    <w:rsid w:val="00F86C73"/>
    <w:rsid w:val="00F87873"/>
    <w:rsid w:val="00F90E00"/>
    <w:rsid w:val="00F9159D"/>
    <w:rsid w:val="00F92036"/>
    <w:rsid w:val="00F92F97"/>
    <w:rsid w:val="00F94225"/>
    <w:rsid w:val="00F96D42"/>
    <w:rsid w:val="00FA03B6"/>
    <w:rsid w:val="00FA0CD6"/>
    <w:rsid w:val="00FA1675"/>
    <w:rsid w:val="00FA177F"/>
    <w:rsid w:val="00FA28C3"/>
    <w:rsid w:val="00FA2921"/>
    <w:rsid w:val="00FA4C08"/>
    <w:rsid w:val="00FB1643"/>
    <w:rsid w:val="00FB20B6"/>
    <w:rsid w:val="00FB2B2B"/>
    <w:rsid w:val="00FB3366"/>
    <w:rsid w:val="00FB46FA"/>
    <w:rsid w:val="00FB4BEA"/>
    <w:rsid w:val="00FB5A8F"/>
    <w:rsid w:val="00FB7B2E"/>
    <w:rsid w:val="00FC0FAB"/>
    <w:rsid w:val="00FC15AE"/>
    <w:rsid w:val="00FC1F34"/>
    <w:rsid w:val="00FC783C"/>
    <w:rsid w:val="00FD260C"/>
    <w:rsid w:val="00FD48A8"/>
    <w:rsid w:val="00FD4E82"/>
    <w:rsid w:val="00FD71FD"/>
    <w:rsid w:val="00FE07EE"/>
    <w:rsid w:val="00FE0AAA"/>
    <w:rsid w:val="00FE1508"/>
    <w:rsid w:val="00FE2C3C"/>
    <w:rsid w:val="00FE2D7B"/>
    <w:rsid w:val="00FE3021"/>
    <w:rsid w:val="00FE31C4"/>
    <w:rsid w:val="00FE3FDA"/>
    <w:rsid w:val="00FE4981"/>
    <w:rsid w:val="00FE71A4"/>
    <w:rsid w:val="00FF0107"/>
    <w:rsid w:val="00FF0C00"/>
    <w:rsid w:val="00FF170C"/>
    <w:rsid w:val="00FF1F47"/>
    <w:rsid w:val="00FF340B"/>
    <w:rsid w:val="00FF5D87"/>
    <w:rsid w:val="00FF6615"/>
    <w:rsid w:val="00FF72A4"/>
    <w:rsid w:val="17D71FED"/>
    <w:rsid w:val="2C09EBA1"/>
    <w:rsid w:val="3B7801FD"/>
    <w:rsid w:val="463EDA6F"/>
    <w:rsid w:val="6EC5B72A"/>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BF3A6"/>
  <w15:chartTrackingRefBased/>
  <w15:docId w15:val="{52A5A93D-2032-40C1-BD20-15C9A8E6F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F07"/>
    <w:pPr>
      <w:jc w:val="both"/>
    </w:pPr>
  </w:style>
  <w:style w:type="paragraph" w:styleId="Heading1">
    <w:name w:val="heading 1"/>
    <w:basedOn w:val="Normal"/>
    <w:next w:val="Normal"/>
    <w:link w:val="Heading1Char"/>
    <w:uiPriority w:val="9"/>
    <w:qFormat/>
    <w:rsid w:val="00F67580"/>
    <w:pPr>
      <w:keepNext/>
      <w:keepLines/>
      <w:spacing w:before="240" w:after="0"/>
      <w:outlineLvl w:val="0"/>
    </w:pPr>
    <w:rPr>
      <w:rFonts w:asciiTheme="majorHAnsi" w:eastAsiaTheme="majorEastAsia" w:hAnsiTheme="majorHAnsi" w:cstheme="majorBidi"/>
      <w:b/>
      <w:color w:val="BCA7E1" w:themeColor="accent2"/>
      <w:sz w:val="60"/>
      <w:szCs w:val="32"/>
    </w:rPr>
  </w:style>
  <w:style w:type="paragraph" w:styleId="Heading2">
    <w:name w:val="heading 2"/>
    <w:aliases w:val="H2,h2"/>
    <w:basedOn w:val="Normal"/>
    <w:next w:val="Normal"/>
    <w:link w:val="Heading2Char"/>
    <w:autoRedefine/>
    <w:uiPriority w:val="9"/>
    <w:unhideWhenUsed/>
    <w:qFormat/>
    <w:rsid w:val="00BC3059"/>
    <w:pPr>
      <w:keepNext/>
      <w:keepLines/>
      <w:spacing w:after="0" w:line="288" w:lineRule="auto"/>
      <w:jc w:val="left"/>
      <w:outlineLvl w:val="1"/>
    </w:pPr>
    <w:rPr>
      <w:rFonts w:asciiTheme="majorHAnsi" w:eastAsiaTheme="majorEastAsia" w:hAnsiTheme="majorHAnsi" w:cs="Segoe UI Light"/>
      <w:color w:val="6D6E6E"/>
      <w:sz w:val="48"/>
      <w:szCs w:val="48"/>
      <w14:props3d w14:extrusionH="0" w14:contourW="0" w14:prstMaterial="warmMatte"/>
    </w:rPr>
  </w:style>
  <w:style w:type="paragraph" w:styleId="Heading3">
    <w:name w:val="heading 3"/>
    <w:basedOn w:val="Normal"/>
    <w:next w:val="Normal"/>
    <w:link w:val="Heading3Char"/>
    <w:uiPriority w:val="9"/>
    <w:unhideWhenUsed/>
    <w:qFormat/>
    <w:rsid w:val="00320120"/>
    <w:pPr>
      <w:keepNext/>
      <w:keepLines/>
      <w:spacing w:before="40" w:after="0"/>
      <w:outlineLvl w:val="2"/>
    </w:pPr>
    <w:rPr>
      <w:rFonts w:ascii="Segoe UI Semilight" w:eastAsiaTheme="majorEastAsia" w:hAnsi="Segoe UI Semilight" w:cstheme="majorBidi"/>
      <w:color w:val="BCA7E1" w:themeColor="accent2"/>
      <w:sz w:val="32"/>
      <w:szCs w:val="24"/>
    </w:rPr>
  </w:style>
  <w:style w:type="paragraph" w:styleId="Heading4">
    <w:name w:val="heading 4"/>
    <w:basedOn w:val="Normal"/>
    <w:next w:val="Normal"/>
    <w:link w:val="Heading4Char"/>
    <w:uiPriority w:val="9"/>
    <w:unhideWhenUsed/>
    <w:qFormat/>
    <w:rsid w:val="00320120"/>
    <w:pPr>
      <w:keepNext/>
      <w:keepLines/>
      <w:spacing w:before="40" w:after="0"/>
      <w:outlineLvl w:val="3"/>
    </w:pPr>
    <w:rPr>
      <w:rFonts w:asciiTheme="majorHAnsi" w:eastAsiaTheme="majorEastAsia" w:hAnsiTheme="majorHAnsi" w:cstheme="majorBidi"/>
      <w:i/>
      <w:iCs/>
      <w:color w:val="BCA7E1" w:themeColor="accent2"/>
    </w:rPr>
  </w:style>
  <w:style w:type="paragraph" w:styleId="Heading5">
    <w:name w:val="heading 5"/>
    <w:basedOn w:val="Normal"/>
    <w:next w:val="Normal"/>
    <w:link w:val="Heading5Char"/>
    <w:uiPriority w:val="9"/>
    <w:unhideWhenUsed/>
    <w:qFormat/>
    <w:rsid w:val="00320120"/>
    <w:pPr>
      <w:keepNext/>
      <w:keepLines/>
      <w:spacing w:before="40" w:after="0"/>
      <w:outlineLvl w:val="4"/>
    </w:pPr>
    <w:rPr>
      <w:rFonts w:asciiTheme="majorHAnsi" w:eastAsiaTheme="majorEastAsia" w:hAnsiTheme="majorHAnsi" w:cstheme="majorBidi"/>
      <w:color w:val="BCA7E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32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32C4"/>
  </w:style>
  <w:style w:type="paragraph" w:styleId="Footer">
    <w:name w:val="footer"/>
    <w:basedOn w:val="Normal"/>
    <w:link w:val="FooterChar"/>
    <w:uiPriority w:val="99"/>
    <w:unhideWhenUsed/>
    <w:rsid w:val="007432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2C4"/>
  </w:style>
  <w:style w:type="character" w:customStyle="1" w:styleId="Heading2Char">
    <w:name w:val="Heading 2 Char"/>
    <w:aliases w:val="H2 Char,h2 Char"/>
    <w:basedOn w:val="DefaultParagraphFont"/>
    <w:link w:val="Heading2"/>
    <w:uiPriority w:val="9"/>
    <w:rsid w:val="00BC3059"/>
    <w:rPr>
      <w:rFonts w:asciiTheme="majorHAnsi" w:eastAsiaTheme="majorEastAsia" w:hAnsiTheme="majorHAnsi" w:cs="Segoe UI Light"/>
      <w:color w:val="6D6E6E"/>
      <w:sz w:val="48"/>
      <w:szCs w:val="48"/>
      <w14:props3d w14:extrusionH="0" w14:contourW="0" w14:prstMaterial="warmMatte"/>
    </w:rPr>
  </w:style>
  <w:style w:type="character" w:customStyle="1" w:styleId="Heading1Char">
    <w:name w:val="Heading 1 Char"/>
    <w:basedOn w:val="DefaultParagraphFont"/>
    <w:link w:val="Heading1"/>
    <w:uiPriority w:val="9"/>
    <w:rsid w:val="00F67580"/>
    <w:rPr>
      <w:rFonts w:asciiTheme="majorHAnsi" w:eastAsiaTheme="majorEastAsia" w:hAnsiTheme="majorHAnsi" w:cstheme="majorBidi"/>
      <w:b/>
      <w:color w:val="BCA7E1" w:themeColor="accent2"/>
      <w:sz w:val="60"/>
      <w:szCs w:val="32"/>
    </w:rPr>
  </w:style>
  <w:style w:type="character" w:customStyle="1" w:styleId="Heading3Char">
    <w:name w:val="Heading 3 Char"/>
    <w:basedOn w:val="DefaultParagraphFont"/>
    <w:link w:val="Heading3"/>
    <w:uiPriority w:val="9"/>
    <w:rsid w:val="00320120"/>
    <w:rPr>
      <w:rFonts w:ascii="Segoe UI Semilight" w:eastAsiaTheme="majorEastAsia" w:hAnsi="Segoe UI Semilight" w:cstheme="majorBidi"/>
      <w:color w:val="BCA7E1" w:themeColor="accent2"/>
      <w:sz w:val="32"/>
      <w:szCs w:val="24"/>
    </w:rPr>
  </w:style>
  <w:style w:type="paragraph" w:styleId="Title">
    <w:name w:val="Title"/>
    <w:basedOn w:val="Normal"/>
    <w:next w:val="Normal"/>
    <w:link w:val="TitleChar"/>
    <w:uiPriority w:val="10"/>
    <w:qFormat/>
    <w:rsid w:val="00E470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0A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470AA"/>
    <w:rPr>
      <w:rFonts w:eastAsiaTheme="minorEastAsia"/>
      <w:color w:val="5A5A5A" w:themeColor="text1" w:themeTint="A5"/>
      <w:spacing w:val="15"/>
    </w:rPr>
  </w:style>
  <w:style w:type="paragraph" w:styleId="ListParagraph">
    <w:name w:val="List Paragraph"/>
    <w:aliases w:val="Lists,List Bullets,FooterText,numbered,List Paragraph1,Paragraphe de liste1,Bulletr List Paragraph,列出段落,列出段落1,List Paragraph2,List Paragraph21,Listeafsnit1,Parágrafo da Lista1,Bullet list,Párrafo de lista1,Use Case List Paragraph,リスト段落1"/>
    <w:basedOn w:val="Normal"/>
    <w:link w:val="ListParagraphChar"/>
    <w:uiPriority w:val="34"/>
    <w:qFormat/>
    <w:rsid w:val="00E2753B"/>
    <w:pPr>
      <w:ind w:left="720"/>
      <w:contextualSpacing/>
    </w:pPr>
  </w:style>
  <w:style w:type="paragraph" w:styleId="TOCHeading">
    <w:name w:val="TOC Heading"/>
    <w:basedOn w:val="Heading1"/>
    <w:next w:val="Normal"/>
    <w:uiPriority w:val="39"/>
    <w:unhideWhenUsed/>
    <w:qFormat/>
    <w:rsid w:val="006F4663"/>
    <w:pPr>
      <w:outlineLvl w:val="9"/>
    </w:pPr>
    <w:rPr>
      <w:lang w:val="en-US"/>
    </w:rPr>
  </w:style>
  <w:style w:type="paragraph" w:styleId="TOC1">
    <w:name w:val="toc 1"/>
    <w:basedOn w:val="Normal"/>
    <w:next w:val="Normal"/>
    <w:autoRedefine/>
    <w:uiPriority w:val="39"/>
    <w:unhideWhenUsed/>
    <w:rsid w:val="00097E43"/>
    <w:pPr>
      <w:tabs>
        <w:tab w:val="right" w:leader="dot" w:pos="9736"/>
      </w:tabs>
      <w:spacing w:after="100"/>
    </w:pPr>
    <w:rPr>
      <w:rFonts w:cs="Segoe UI Light"/>
      <w:noProof/>
      <w:szCs w:val="24"/>
    </w:rPr>
  </w:style>
  <w:style w:type="character" w:styleId="Hyperlink">
    <w:name w:val="Hyperlink"/>
    <w:basedOn w:val="DefaultParagraphFont"/>
    <w:uiPriority w:val="99"/>
    <w:unhideWhenUsed/>
    <w:rsid w:val="006F4663"/>
    <w:rPr>
      <w:color w:val="69BAF8" w:themeColor="hyperlink"/>
      <w:u w:val="single"/>
    </w:rPr>
  </w:style>
  <w:style w:type="paragraph" w:styleId="TOC2">
    <w:name w:val="toc 2"/>
    <w:basedOn w:val="Normal"/>
    <w:next w:val="Normal"/>
    <w:autoRedefine/>
    <w:uiPriority w:val="39"/>
    <w:unhideWhenUsed/>
    <w:rsid w:val="00074894"/>
    <w:pPr>
      <w:spacing w:after="100"/>
      <w:ind w:left="220"/>
    </w:pPr>
  </w:style>
  <w:style w:type="paragraph" w:customStyle="1" w:styleId="Boldparagraph">
    <w:name w:val="Bold paragraph"/>
    <w:basedOn w:val="Normal"/>
    <w:link w:val="BoldparagraphChar"/>
    <w:qFormat/>
    <w:rsid w:val="00094D7B"/>
    <w:rPr>
      <w:rFonts w:ascii="Segoe UI Semibold" w:hAnsi="Segoe UI Semibold"/>
      <w:color w:val="000000" w:themeColor="text1"/>
    </w:rPr>
  </w:style>
  <w:style w:type="table" w:styleId="TableGrid">
    <w:name w:val="Table Grid"/>
    <w:basedOn w:val="TableNormal"/>
    <w:uiPriority w:val="39"/>
    <w:rsid w:val="00EE5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paragraphChar">
    <w:name w:val="Bold paragraph Char"/>
    <w:basedOn w:val="DefaultParagraphFont"/>
    <w:link w:val="Boldparagraph"/>
    <w:rsid w:val="00094D7B"/>
    <w:rPr>
      <w:rFonts w:ascii="Segoe UI Semibold" w:hAnsi="Segoe UI Semibold"/>
      <w:color w:val="000000" w:themeColor="text1"/>
    </w:rPr>
  </w:style>
  <w:style w:type="paragraph" w:customStyle="1" w:styleId="List-Sensei">
    <w:name w:val="List - Sensei"/>
    <w:basedOn w:val="ListParagraph"/>
    <w:autoRedefine/>
    <w:qFormat/>
    <w:rsid w:val="003D5287"/>
    <w:pPr>
      <w:numPr>
        <w:numId w:val="1"/>
      </w:numPr>
      <w:spacing w:before="120" w:after="240"/>
    </w:pPr>
    <w:rPr>
      <w:color w:val="081A28"/>
    </w:rPr>
  </w:style>
  <w:style w:type="character" w:customStyle="1" w:styleId="ListParagraphChar">
    <w:name w:val="List Paragraph Char"/>
    <w:aliases w:val="Lists Char,List Bullets Char,FooterText Char,numbered Char,List Paragraph1 Char,Paragraphe de liste1 Char,Bulletr List Paragraph Char,列出段落 Char,列出段落1 Char,List Paragraph2 Char,List Paragraph21 Char,Listeafsnit1 Char,Bullet list Char"/>
    <w:link w:val="ListParagraph"/>
    <w:uiPriority w:val="34"/>
    <w:rsid w:val="00725587"/>
    <w:rPr>
      <w:rFonts w:ascii="Segoe UI Light" w:hAnsi="Segoe UI Light"/>
      <w:sz w:val="24"/>
    </w:rPr>
  </w:style>
  <w:style w:type="paragraph" w:customStyle="1" w:styleId="Body">
    <w:name w:val="Body"/>
    <w:basedOn w:val="Normal"/>
    <w:link w:val="BodyChar"/>
    <w:autoRedefine/>
    <w:qFormat/>
    <w:rsid w:val="00FD71FD"/>
    <w:pPr>
      <w:spacing w:after="0" w:line="240" w:lineRule="auto"/>
      <w:ind w:left="142" w:firstLine="12"/>
      <w:jc w:val="left"/>
    </w:pPr>
    <w:rPr>
      <w:rFonts w:eastAsia="Times New Roman" w:cs="Segoe UI Semibold"/>
      <w:bCs/>
      <w:color w:val="000000" w:themeColor="text1"/>
      <w:szCs w:val="24"/>
      <w14:textFill>
        <w14:solidFill>
          <w14:schemeClr w14:val="tx1">
            <w14:lumMod w14:val="95000"/>
            <w14:lumOff w14:val="5000"/>
            <w14:lumMod w14:val="95000"/>
            <w14:lumOff w14:val="5000"/>
          </w14:schemeClr>
        </w14:solidFill>
      </w14:textFill>
    </w:rPr>
  </w:style>
  <w:style w:type="character" w:customStyle="1" w:styleId="BodyChar">
    <w:name w:val="Body Char"/>
    <w:basedOn w:val="DefaultParagraphFont"/>
    <w:link w:val="Body"/>
    <w:rsid w:val="00FD71FD"/>
    <w:rPr>
      <w:rFonts w:eastAsia="Times New Roman" w:cs="Segoe UI Semibold"/>
      <w:bCs/>
      <w:color w:val="000000" w:themeColor="text1"/>
      <w:szCs w:val="24"/>
      <w14:textFill>
        <w14:solidFill>
          <w14:schemeClr w14:val="tx1">
            <w14:lumMod w14:val="95000"/>
            <w14:lumOff w14:val="5000"/>
            <w14:lumMod w14:val="95000"/>
            <w14:lumOff w14:val="5000"/>
          </w14:schemeClr>
        </w14:solidFill>
      </w14:textFill>
    </w:rPr>
  </w:style>
  <w:style w:type="character" w:styleId="IntenseEmphasis">
    <w:name w:val="Intense Emphasis"/>
    <w:basedOn w:val="DefaultParagraphFont"/>
    <w:uiPriority w:val="21"/>
    <w:qFormat/>
    <w:rsid w:val="00320120"/>
    <w:rPr>
      <w:i/>
      <w:iCs/>
      <w:color w:val="BCA7E1" w:themeColor="accent2"/>
    </w:rPr>
  </w:style>
  <w:style w:type="paragraph" w:styleId="NoSpacing">
    <w:name w:val="No Spacing"/>
    <w:link w:val="NoSpacingChar"/>
    <w:uiPriority w:val="1"/>
    <w:qFormat/>
    <w:rsid w:val="000E7409"/>
    <w:pPr>
      <w:spacing w:after="0" w:line="240" w:lineRule="auto"/>
      <w:jc w:val="both"/>
    </w:pPr>
    <w:rPr>
      <w:rFonts w:ascii="Segoe UI Light" w:hAnsi="Segoe UI Light"/>
      <w:sz w:val="24"/>
    </w:rPr>
  </w:style>
  <w:style w:type="character" w:customStyle="1" w:styleId="Heading4Char">
    <w:name w:val="Heading 4 Char"/>
    <w:basedOn w:val="DefaultParagraphFont"/>
    <w:link w:val="Heading4"/>
    <w:uiPriority w:val="9"/>
    <w:rsid w:val="00320120"/>
    <w:rPr>
      <w:rFonts w:asciiTheme="majorHAnsi" w:eastAsiaTheme="majorEastAsia" w:hAnsiTheme="majorHAnsi" w:cstheme="majorBidi"/>
      <w:i/>
      <w:iCs/>
      <w:color w:val="BCA7E1" w:themeColor="accent2"/>
    </w:rPr>
  </w:style>
  <w:style w:type="paragraph" w:styleId="NormalWeb">
    <w:name w:val="Normal (Web)"/>
    <w:basedOn w:val="Normal"/>
    <w:uiPriority w:val="99"/>
    <w:unhideWhenUsed/>
    <w:rsid w:val="00E437C9"/>
    <w:pPr>
      <w:spacing w:before="120" w:after="240"/>
    </w:pPr>
    <w:rPr>
      <w:rFonts w:ascii="Times New Roman" w:hAnsi="Times New Roman" w:cs="Times New Roman"/>
      <w:color w:val="081A28"/>
      <w:szCs w:val="24"/>
    </w:rPr>
  </w:style>
  <w:style w:type="paragraph" w:styleId="Quote">
    <w:name w:val="Quote"/>
    <w:aliases w:val="icon para text"/>
    <w:basedOn w:val="Normal"/>
    <w:next w:val="Normal"/>
    <w:link w:val="QuoteChar"/>
    <w:uiPriority w:val="29"/>
    <w:qFormat/>
    <w:rsid w:val="00E437C9"/>
    <w:pPr>
      <w:spacing w:before="200"/>
      <w:ind w:left="864" w:right="864"/>
      <w:jc w:val="center"/>
    </w:pPr>
    <w:rPr>
      <w:i/>
      <w:iCs/>
      <w:color w:val="404040" w:themeColor="text1" w:themeTint="BF"/>
    </w:rPr>
  </w:style>
  <w:style w:type="character" w:customStyle="1" w:styleId="QuoteChar">
    <w:name w:val="Quote Char"/>
    <w:aliases w:val="icon para text Char"/>
    <w:basedOn w:val="DefaultParagraphFont"/>
    <w:link w:val="Quote"/>
    <w:uiPriority w:val="29"/>
    <w:rsid w:val="00E437C9"/>
    <w:rPr>
      <w:rFonts w:ascii="Segoe UI Light" w:hAnsi="Segoe UI Light"/>
      <w:i/>
      <w:iCs/>
      <w:color w:val="404040" w:themeColor="text1" w:themeTint="BF"/>
      <w:sz w:val="24"/>
    </w:rPr>
  </w:style>
  <w:style w:type="paragraph" w:customStyle="1" w:styleId="Icontext">
    <w:name w:val="Icon text"/>
    <w:basedOn w:val="NoSpacing"/>
    <w:link w:val="IcontextChar"/>
    <w:qFormat/>
    <w:rsid w:val="00094D7B"/>
    <w:pPr>
      <w:jc w:val="center"/>
    </w:pPr>
    <w:rPr>
      <w:color w:val="515252" w:themeColor="text2" w:themeShade="BF"/>
      <w:sz w:val="20"/>
      <w:szCs w:val="20"/>
    </w:rPr>
  </w:style>
  <w:style w:type="character" w:customStyle="1" w:styleId="NoSpacingChar">
    <w:name w:val="No Spacing Char"/>
    <w:basedOn w:val="DefaultParagraphFont"/>
    <w:link w:val="NoSpacing"/>
    <w:uiPriority w:val="1"/>
    <w:rsid w:val="00B262BD"/>
    <w:rPr>
      <w:rFonts w:ascii="Segoe UI Light" w:hAnsi="Segoe UI Light"/>
      <w:sz w:val="24"/>
    </w:rPr>
  </w:style>
  <w:style w:type="character" w:customStyle="1" w:styleId="IcontextChar">
    <w:name w:val="Icon text Char"/>
    <w:basedOn w:val="NoSpacingChar"/>
    <w:link w:val="Icontext"/>
    <w:rsid w:val="00094D7B"/>
    <w:rPr>
      <w:rFonts w:ascii="Segoe UI Light" w:hAnsi="Segoe UI Light"/>
      <w:color w:val="515252" w:themeColor="text2" w:themeShade="BF"/>
      <w:sz w:val="20"/>
      <w:szCs w:val="20"/>
    </w:rPr>
  </w:style>
  <w:style w:type="paragraph" w:customStyle="1" w:styleId="FooterRight">
    <w:name w:val="Footer Right"/>
    <w:basedOn w:val="Footer"/>
    <w:autoRedefine/>
    <w:uiPriority w:val="10"/>
    <w:qFormat/>
    <w:rsid w:val="003E7FA2"/>
    <w:pPr>
      <w:jc w:val="right"/>
    </w:pPr>
    <w:rPr>
      <w:color w:val="FFFFFF" w:themeColor="background1"/>
    </w:rPr>
  </w:style>
  <w:style w:type="table" w:customStyle="1" w:styleId="PlainTable21">
    <w:name w:val="Plain Table 21"/>
    <w:basedOn w:val="TableNormal"/>
    <w:next w:val="PlainTable2"/>
    <w:uiPriority w:val="42"/>
    <w:rsid w:val="003E7FA2"/>
    <w:pPr>
      <w:spacing w:after="0" w:line="240" w:lineRule="auto"/>
    </w:pPr>
    <w:tblPr>
      <w:tblStyleRowBandSize w:val="1"/>
      <w:tblStyleColBandSize w:val="1"/>
      <w:tblBorders>
        <w:top w:val="single" w:sz="4" w:space="0" w:color="989898"/>
        <w:bottom w:val="single" w:sz="4" w:space="0" w:color="989898"/>
      </w:tblBorders>
    </w:tblPr>
    <w:tblStylePr w:type="firstRow">
      <w:rPr>
        <w:b/>
        <w:bCs/>
      </w:rPr>
      <w:tblPr/>
      <w:tcPr>
        <w:tcBorders>
          <w:bottom w:val="single" w:sz="4" w:space="0" w:color="989898"/>
        </w:tcBorders>
      </w:tcPr>
    </w:tblStylePr>
    <w:tblStylePr w:type="lastRow">
      <w:rPr>
        <w:b/>
        <w:bCs/>
      </w:rPr>
      <w:tblPr/>
      <w:tcPr>
        <w:tcBorders>
          <w:top w:val="single" w:sz="4" w:space="0" w:color="989898"/>
        </w:tcBorders>
      </w:tcPr>
    </w:tblStylePr>
    <w:tblStylePr w:type="firstCol">
      <w:rPr>
        <w:b/>
        <w:bCs/>
      </w:rPr>
    </w:tblStylePr>
    <w:tblStylePr w:type="lastCol">
      <w:rPr>
        <w:b/>
        <w:bCs/>
      </w:rPr>
    </w:tblStylePr>
    <w:tblStylePr w:type="band1Vert">
      <w:tblPr/>
      <w:tcPr>
        <w:tcBorders>
          <w:left w:val="single" w:sz="4" w:space="0" w:color="989898"/>
          <w:right w:val="single" w:sz="4" w:space="0" w:color="989898"/>
        </w:tcBorders>
      </w:tcPr>
    </w:tblStylePr>
    <w:tblStylePr w:type="band2Vert">
      <w:tblPr/>
      <w:tcPr>
        <w:tcBorders>
          <w:left w:val="single" w:sz="4" w:space="0" w:color="989898"/>
          <w:right w:val="single" w:sz="4" w:space="0" w:color="989898"/>
        </w:tcBorders>
      </w:tcPr>
    </w:tblStylePr>
    <w:tblStylePr w:type="band1Horz">
      <w:tblPr/>
      <w:tcPr>
        <w:tcBorders>
          <w:top w:val="single" w:sz="4" w:space="0" w:color="989898"/>
          <w:bottom w:val="single" w:sz="4" w:space="0" w:color="989898"/>
        </w:tcBorders>
      </w:tcPr>
    </w:tblStylePr>
  </w:style>
  <w:style w:type="table" w:styleId="PlainTable2">
    <w:name w:val="Plain Table 2"/>
    <w:basedOn w:val="TableNormal"/>
    <w:uiPriority w:val="42"/>
    <w:rsid w:val="003E7F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012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C012B"/>
    <w:rPr>
      <w:rFonts w:ascii="Times New Roman" w:hAnsi="Times New Roman" w:cs="Times New Roman"/>
      <w:sz w:val="18"/>
      <w:szCs w:val="18"/>
    </w:rPr>
  </w:style>
  <w:style w:type="paragraph" w:customStyle="1" w:styleId="ListBlack-Sensei">
    <w:name w:val="List Black - Sensei"/>
    <w:basedOn w:val="List-Sensei"/>
    <w:qFormat/>
    <w:rsid w:val="00094D7B"/>
    <w:pPr>
      <w:numPr>
        <w:numId w:val="2"/>
      </w:numPr>
    </w:pPr>
    <w:rPr>
      <w:rFonts w:ascii="Segoe UI Symbol" w:hAnsi="Segoe UI Symbol"/>
    </w:rPr>
  </w:style>
  <w:style w:type="table" w:customStyle="1" w:styleId="SenseiTable">
    <w:name w:val="Sensei Table"/>
    <w:basedOn w:val="TableNormal"/>
    <w:uiPriority w:val="99"/>
    <w:rsid w:val="00DB4D81"/>
    <w:pPr>
      <w:spacing w:after="0" w:line="240" w:lineRule="auto"/>
    </w:pPr>
    <w:tblPr>
      <w:tblStyleRowBandSize w:val="1"/>
      <w:tblStyleColBandSize w:val="1"/>
      <w:tblBorders>
        <w:top w:val="single" w:sz="2" w:space="0" w:color="CABBE7" w:themeColor="accent1" w:themeTint="66"/>
        <w:left w:val="single" w:sz="2" w:space="0" w:color="CABBE7" w:themeColor="accent1" w:themeTint="66"/>
        <w:bottom w:val="single" w:sz="2" w:space="0" w:color="CABBE7" w:themeColor="accent1" w:themeTint="66"/>
        <w:right w:val="single" w:sz="2" w:space="0" w:color="CABBE7" w:themeColor="accent1" w:themeTint="66"/>
        <w:insideH w:val="single" w:sz="2" w:space="0" w:color="CABBE7" w:themeColor="accent1" w:themeTint="66"/>
        <w:insideV w:val="single" w:sz="2" w:space="0" w:color="CABBE7" w:themeColor="accent1" w:themeTint="66"/>
      </w:tblBorders>
    </w:tblPr>
    <w:tcPr>
      <w:shd w:val="clear" w:color="auto" w:fill="FFFFFF" w:themeFill="background1"/>
    </w:tcPr>
    <w:tblStylePr w:type="firstRow">
      <w:pPr>
        <w:wordWrap/>
        <w:spacing w:beforeLines="0" w:before="240" w:beforeAutospacing="0" w:afterLines="0" w:after="240" w:afterAutospacing="0"/>
        <w:ind w:leftChars="0" w:left="57"/>
        <w:jc w:val="left"/>
      </w:pPr>
      <w:rPr>
        <w:rFonts w:ascii="Segoe UI Semibold" w:hAnsi="Segoe UI Semibold"/>
        <w:b w:val="0"/>
        <w:i w:val="0"/>
        <w:color w:val="FFFFFF" w:themeColor="background1"/>
        <w:sz w:val="22"/>
      </w:rPr>
      <w:tblPr/>
      <w:tcPr>
        <w:shd w:val="clear" w:color="auto" w:fill="7D56C5" w:themeFill="accent1"/>
      </w:tcPr>
    </w:tblStylePr>
    <w:tblStylePr w:type="band1Vert">
      <w:pPr>
        <w:wordWrap/>
        <w:spacing w:beforeLines="0" w:before="120" w:beforeAutospacing="0" w:afterLines="0" w:after="120" w:afterAutospacing="0"/>
      </w:pPr>
    </w:tblStylePr>
    <w:tblStylePr w:type="band2Vert">
      <w:pPr>
        <w:wordWrap/>
        <w:spacing w:beforeLines="0" w:before="120" w:beforeAutospacing="0" w:afterLines="0" w:after="120" w:afterAutospacing="0"/>
      </w:pPr>
    </w:tblStylePr>
    <w:tblStylePr w:type="band1Horz">
      <w:pPr>
        <w:wordWrap/>
        <w:spacing w:beforeLines="0" w:before="120" w:beforeAutospacing="0" w:afterLines="0" w:after="120" w:afterAutospacing="0"/>
      </w:pPr>
    </w:tblStylePr>
    <w:tblStylePr w:type="band2Horz">
      <w:pPr>
        <w:wordWrap/>
        <w:spacing w:beforeLines="0" w:before="120" w:beforeAutospacing="0" w:afterLines="0" w:after="120" w:afterAutospacing="0"/>
      </w:pPr>
      <w:tblPr/>
      <w:tcPr>
        <w:shd w:val="clear" w:color="auto" w:fill="F2F2F2" w:themeFill="background1" w:themeFillShade="F2"/>
      </w:tcPr>
    </w:tblStylePr>
  </w:style>
  <w:style w:type="character" w:customStyle="1" w:styleId="CommentTextChar">
    <w:name w:val="Comment Text Char"/>
    <w:basedOn w:val="DefaultParagraphFont"/>
    <w:link w:val="CommentText"/>
    <w:uiPriority w:val="99"/>
    <w:rsid w:val="00094D7B"/>
    <w:rPr>
      <w:sz w:val="24"/>
      <w:szCs w:val="24"/>
    </w:rPr>
  </w:style>
  <w:style w:type="paragraph" w:styleId="CommentText">
    <w:name w:val="annotation text"/>
    <w:basedOn w:val="Normal"/>
    <w:link w:val="CommentTextChar"/>
    <w:uiPriority w:val="99"/>
    <w:unhideWhenUsed/>
    <w:rsid w:val="00094D7B"/>
    <w:pPr>
      <w:spacing w:after="200" w:line="240" w:lineRule="auto"/>
      <w:jc w:val="left"/>
    </w:pPr>
    <w:rPr>
      <w:szCs w:val="24"/>
    </w:rPr>
  </w:style>
  <w:style w:type="character" w:customStyle="1" w:styleId="CommentTextChar1">
    <w:name w:val="Comment Text Char1"/>
    <w:basedOn w:val="DefaultParagraphFont"/>
    <w:uiPriority w:val="99"/>
    <w:semiHidden/>
    <w:rsid w:val="00094D7B"/>
    <w:rPr>
      <w:rFonts w:ascii="Segoe UI Light" w:hAnsi="Segoe UI Light"/>
      <w:sz w:val="20"/>
      <w:szCs w:val="20"/>
    </w:rPr>
  </w:style>
  <w:style w:type="character" w:styleId="CommentReference">
    <w:name w:val="annotation reference"/>
    <w:basedOn w:val="DefaultParagraphFont"/>
    <w:uiPriority w:val="99"/>
    <w:semiHidden/>
    <w:unhideWhenUsed/>
    <w:rsid w:val="00094D7B"/>
    <w:rPr>
      <w:sz w:val="16"/>
      <w:szCs w:val="16"/>
    </w:rPr>
  </w:style>
  <w:style w:type="table" w:customStyle="1" w:styleId="ipmotablewithheaderrow1">
    <w:name w:val="ipmo table with header row1"/>
    <w:basedOn w:val="TableNormal"/>
    <w:uiPriority w:val="99"/>
    <w:rsid w:val="00094D7B"/>
    <w:pPr>
      <w:spacing w:after="0" w:line="240" w:lineRule="auto"/>
    </w:pPr>
    <w:rPr>
      <w:sz w:val="18"/>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auto"/>
    </w:tcPr>
    <w:tblStylePr w:type="firstRow">
      <w:pPr>
        <w:wordWrap/>
        <w:spacing w:beforeLines="0" w:before="0" w:beforeAutospacing="0" w:afterLines="0" w:after="0" w:afterAutospacing="0"/>
        <w:jc w:val="left"/>
      </w:pPr>
      <w:rPr>
        <w:rFonts w:asciiTheme="majorHAnsi" w:hAnsiTheme="majorHAnsi"/>
        <w:b w:val="0"/>
        <w:color w:val="FFFFFF" w:themeColor="background1"/>
        <w:sz w:val="20"/>
      </w:rPr>
      <w:tblPr/>
      <w:tcPr>
        <w:shd w:val="clear" w:color="auto" w:fill="5A369D" w:themeFill="accent1" w:themeFillShade="BF"/>
        <w:vAlign w:val="center"/>
      </w:tcPr>
    </w:tblStylePr>
    <w:tblStylePr w:type="band2Horz">
      <w:tblPr/>
      <w:tcPr>
        <w:shd w:val="clear" w:color="auto" w:fill="F2F2F2" w:themeFill="background1" w:themeFillShade="F2"/>
      </w:tcPr>
    </w:tblStylePr>
  </w:style>
  <w:style w:type="table" w:customStyle="1" w:styleId="TableGrid0">
    <w:name w:val="TableGrid"/>
    <w:rsid w:val="00094D7B"/>
    <w:pPr>
      <w:spacing w:after="0" w:line="240" w:lineRule="auto"/>
    </w:pPr>
    <w:rPr>
      <w:rFonts w:eastAsiaTheme="minorEastAsia"/>
      <w:lang w:eastAsia="en-AU"/>
    </w:rPr>
    <w:tblPr>
      <w:tblCellMar>
        <w:top w:w="0" w:type="dxa"/>
        <w:left w:w="0" w:type="dxa"/>
        <w:bottom w:w="0" w:type="dxa"/>
        <w:right w:w="0" w:type="dxa"/>
      </w:tblCellMar>
    </w:tblPr>
  </w:style>
  <w:style w:type="character" w:styleId="IntenseReference">
    <w:name w:val="Intense Reference"/>
    <w:basedOn w:val="DefaultParagraphFont"/>
    <w:uiPriority w:val="32"/>
    <w:qFormat/>
    <w:rsid w:val="00320120"/>
    <w:rPr>
      <w:b/>
      <w:bCs/>
      <w:smallCaps/>
      <w:color w:val="BCA7E1" w:themeColor="accent2"/>
      <w:spacing w:val="5"/>
    </w:rPr>
  </w:style>
  <w:style w:type="table" w:styleId="ListTable6Colorful-Accent1">
    <w:name w:val="List Table 6 Colorful Accent 1"/>
    <w:basedOn w:val="TableNormal"/>
    <w:uiPriority w:val="51"/>
    <w:rsid w:val="00490896"/>
    <w:pPr>
      <w:spacing w:after="0" w:line="240" w:lineRule="auto"/>
    </w:pPr>
    <w:rPr>
      <w:color w:val="5A369D" w:themeColor="accent1" w:themeShade="BF"/>
    </w:rPr>
    <w:tblPr>
      <w:tblStyleRowBandSize w:val="1"/>
      <w:tblStyleColBandSize w:val="1"/>
      <w:tblBorders>
        <w:top w:val="single" w:sz="4" w:space="0" w:color="7D56C5" w:themeColor="accent1"/>
        <w:bottom w:val="single" w:sz="4" w:space="0" w:color="7D56C5" w:themeColor="accent1"/>
      </w:tblBorders>
    </w:tblPr>
    <w:tblStylePr w:type="firstRow">
      <w:rPr>
        <w:b/>
        <w:bCs/>
      </w:rPr>
      <w:tblPr/>
      <w:tcPr>
        <w:tcBorders>
          <w:bottom w:val="single" w:sz="4" w:space="0" w:color="7D56C5" w:themeColor="accent1"/>
        </w:tcBorders>
      </w:tcPr>
    </w:tblStylePr>
    <w:tblStylePr w:type="lastRow">
      <w:rPr>
        <w:b/>
        <w:bCs/>
      </w:rPr>
      <w:tblPr/>
      <w:tcPr>
        <w:tcBorders>
          <w:top w:val="double" w:sz="4" w:space="0" w:color="7D56C5" w:themeColor="accent1"/>
        </w:tcBorders>
      </w:tcPr>
    </w:tblStylePr>
    <w:tblStylePr w:type="firstCol">
      <w:rPr>
        <w:b/>
        <w:bCs/>
      </w:rPr>
    </w:tblStylePr>
    <w:tblStylePr w:type="lastCol">
      <w:rPr>
        <w:b/>
        <w:bCs/>
      </w:rPr>
    </w:tblStylePr>
    <w:tblStylePr w:type="band1Vert">
      <w:tblPr/>
      <w:tcPr>
        <w:shd w:val="clear" w:color="auto" w:fill="E4DDF3" w:themeFill="accent1" w:themeFillTint="33"/>
      </w:tcPr>
    </w:tblStylePr>
    <w:tblStylePr w:type="band1Horz">
      <w:tblPr/>
      <w:tcPr>
        <w:shd w:val="clear" w:color="auto" w:fill="E4DDF3" w:themeFill="accent1" w:themeFillTint="33"/>
      </w:tcPr>
    </w:tblStylePr>
  </w:style>
  <w:style w:type="character" w:styleId="SubtleEmphasis">
    <w:name w:val="Subtle Emphasis"/>
    <w:basedOn w:val="DefaultParagraphFont"/>
    <w:uiPriority w:val="19"/>
    <w:qFormat/>
    <w:rsid w:val="00BC3547"/>
    <w:rPr>
      <w:i/>
      <w:iCs/>
      <w:color w:val="404040" w:themeColor="text1" w:themeTint="BF"/>
    </w:rPr>
  </w:style>
  <w:style w:type="paragraph" w:styleId="TOC3">
    <w:name w:val="toc 3"/>
    <w:basedOn w:val="Normal"/>
    <w:next w:val="Normal"/>
    <w:autoRedefine/>
    <w:uiPriority w:val="39"/>
    <w:unhideWhenUsed/>
    <w:rsid w:val="00170A46"/>
    <w:pPr>
      <w:spacing w:after="100"/>
      <w:ind w:left="440"/>
    </w:pPr>
  </w:style>
  <w:style w:type="paragraph" w:styleId="BodyText">
    <w:name w:val="Body Text"/>
    <w:link w:val="BodyTextChar"/>
    <w:uiPriority w:val="99"/>
    <w:unhideWhenUsed/>
    <w:rsid w:val="00072B57"/>
    <w:pPr>
      <w:spacing w:after="0" w:line="288" w:lineRule="auto"/>
    </w:pPr>
    <w:rPr>
      <w:rFonts w:ascii="Verdana" w:hAnsi="Verdana"/>
      <w:sz w:val="20"/>
    </w:rPr>
  </w:style>
  <w:style w:type="character" w:customStyle="1" w:styleId="BodyTextChar">
    <w:name w:val="Body Text Char"/>
    <w:basedOn w:val="DefaultParagraphFont"/>
    <w:link w:val="BodyText"/>
    <w:uiPriority w:val="99"/>
    <w:rsid w:val="00072B57"/>
    <w:rPr>
      <w:rFonts w:ascii="Verdana" w:hAnsi="Verdana"/>
      <w:sz w:val="20"/>
    </w:rPr>
  </w:style>
  <w:style w:type="paragraph" w:customStyle="1" w:styleId="SmallBullets">
    <w:name w:val="Small Bullets"/>
    <w:basedOn w:val="Normal"/>
    <w:uiPriority w:val="1"/>
    <w:qFormat/>
    <w:rsid w:val="00072B57"/>
    <w:pPr>
      <w:numPr>
        <w:numId w:val="3"/>
      </w:numPr>
      <w:spacing w:before="120" w:after="60" w:line="264" w:lineRule="auto"/>
      <w:jc w:val="left"/>
    </w:pPr>
    <w:rPr>
      <w:rFonts w:ascii="Segoe UI" w:hAnsi="Segoe UI"/>
      <w:sz w:val="18"/>
    </w:rPr>
  </w:style>
  <w:style w:type="table" w:styleId="GridTable4-Accent1">
    <w:name w:val="Grid Table 4 Accent 1"/>
    <w:basedOn w:val="TableNormal"/>
    <w:uiPriority w:val="49"/>
    <w:rsid w:val="00F9159D"/>
    <w:pPr>
      <w:spacing w:after="0" w:line="240" w:lineRule="auto"/>
    </w:pPr>
    <w:tblPr>
      <w:tblStyleRowBandSize w:val="1"/>
      <w:tblStyleColBandSize w:val="1"/>
      <w:tblBorders>
        <w:top w:val="single" w:sz="4" w:space="0" w:color="B099DC" w:themeColor="accent1" w:themeTint="99"/>
        <w:left w:val="single" w:sz="4" w:space="0" w:color="B099DC" w:themeColor="accent1" w:themeTint="99"/>
        <w:bottom w:val="single" w:sz="4" w:space="0" w:color="B099DC" w:themeColor="accent1" w:themeTint="99"/>
        <w:right w:val="single" w:sz="4" w:space="0" w:color="B099DC" w:themeColor="accent1" w:themeTint="99"/>
        <w:insideH w:val="single" w:sz="4" w:space="0" w:color="B099DC" w:themeColor="accent1" w:themeTint="99"/>
        <w:insideV w:val="single" w:sz="4" w:space="0" w:color="B099DC" w:themeColor="accent1" w:themeTint="99"/>
      </w:tblBorders>
    </w:tblPr>
    <w:tblStylePr w:type="firstRow">
      <w:rPr>
        <w:b/>
        <w:bCs/>
        <w:color w:val="FFFFFF" w:themeColor="background1"/>
      </w:rPr>
      <w:tblPr/>
      <w:tcPr>
        <w:tcBorders>
          <w:top w:val="single" w:sz="4" w:space="0" w:color="7D56C5" w:themeColor="accent1"/>
          <w:left w:val="single" w:sz="4" w:space="0" w:color="7D56C5" w:themeColor="accent1"/>
          <w:bottom w:val="single" w:sz="4" w:space="0" w:color="7D56C5" w:themeColor="accent1"/>
          <w:right w:val="single" w:sz="4" w:space="0" w:color="7D56C5" w:themeColor="accent1"/>
          <w:insideH w:val="nil"/>
          <w:insideV w:val="nil"/>
        </w:tcBorders>
        <w:shd w:val="clear" w:color="auto" w:fill="7D56C5" w:themeFill="accent1"/>
      </w:tcPr>
    </w:tblStylePr>
    <w:tblStylePr w:type="lastRow">
      <w:rPr>
        <w:b/>
        <w:bCs/>
      </w:rPr>
      <w:tblPr/>
      <w:tcPr>
        <w:tcBorders>
          <w:top w:val="double" w:sz="4" w:space="0" w:color="7D56C5" w:themeColor="accent1"/>
        </w:tcBorders>
      </w:tcPr>
    </w:tblStylePr>
    <w:tblStylePr w:type="firstCol">
      <w:rPr>
        <w:b/>
        <w:bCs/>
      </w:rPr>
    </w:tblStylePr>
    <w:tblStylePr w:type="lastCol">
      <w:rPr>
        <w:b/>
        <w:bCs/>
      </w:rPr>
    </w:tblStylePr>
    <w:tblStylePr w:type="band1Vert">
      <w:tblPr/>
      <w:tcPr>
        <w:shd w:val="clear" w:color="auto" w:fill="E4DDF3" w:themeFill="accent1" w:themeFillTint="33"/>
      </w:tcPr>
    </w:tblStylePr>
    <w:tblStylePr w:type="band1Horz">
      <w:tblPr/>
      <w:tcPr>
        <w:shd w:val="clear" w:color="auto" w:fill="E4DDF3" w:themeFill="accent1" w:themeFillTint="33"/>
      </w:tcPr>
    </w:tblStylePr>
  </w:style>
  <w:style w:type="character" w:customStyle="1" w:styleId="Heading5Char">
    <w:name w:val="Heading 5 Char"/>
    <w:basedOn w:val="DefaultParagraphFont"/>
    <w:link w:val="Heading5"/>
    <w:uiPriority w:val="9"/>
    <w:rsid w:val="00320120"/>
    <w:rPr>
      <w:rFonts w:asciiTheme="majorHAnsi" w:eastAsiaTheme="majorEastAsia" w:hAnsiTheme="majorHAnsi" w:cstheme="majorBidi"/>
      <w:color w:val="BCA7E1" w:themeColor="accent2"/>
    </w:rPr>
  </w:style>
  <w:style w:type="paragraph" w:styleId="IntenseQuote">
    <w:name w:val="Intense Quote"/>
    <w:basedOn w:val="Normal"/>
    <w:next w:val="Normal"/>
    <w:link w:val="IntenseQuoteChar"/>
    <w:uiPriority w:val="30"/>
    <w:qFormat/>
    <w:rsid w:val="00F67580"/>
    <w:pPr>
      <w:pBdr>
        <w:top w:val="single" w:sz="4" w:space="10" w:color="7D56C5" w:themeColor="accent1"/>
        <w:bottom w:val="single" w:sz="4" w:space="10" w:color="7D56C5" w:themeColor="accent1"/>
      </w:pBdr>
      <w:spacing w:before="360" w:after="360"/>
      <w:ind w:left="864" w:right="864"/>
      <w:jc w:val="center"/>
    </w:pPr>
    <w:rPr>
      <w:i/>
      <w:iCs/>
      <w:color w:val="BCA7E1" w:themeColor="accent2"/>
    </w:rPr>
  </w:style>
  <w:style w:type="character" w:customStyle="1" w:styleId="IntenseQuoteChar">
    <w:name w:val="Intense Quote Char"/>
    <w:basedOn w:val="DefaultParagraphFont"/>
    <w:link w:val="IntenseQuote"/>
    <w:uiPriority w:val="30"/>
    <w:rsid w:val="00F67580"/>
    <w:rPr>
      <w:i/>
      <w:iCs/>
      <w:color w:val="BCA7E1" w:themeColor="accent2"/>
    </w:rPr>
  </w:style>
  <w:style w:type="character" w:styleId="UnresolvedMention">
    <w:name w:val="Unresolved Mention"/>
    <w:basedOn w:val="DefaultParagraphFont"/>
    <w:uiPriority w:val="99"/>
    <w:semiHidden/>
    <w:unhideWhenUsed/>
    <w:rsid w:val="00B3563E"/>
    <w:rPr>
      <w:color w:val="605E5C"/>
      <w:shd w:val="clear" w:color="auto" w:fill="E1DFDD"/>
    </w:rPr>
  </w:style>
  <w:style w:type="table" w:styleId="ListTable3-Accent1">
    <w:name w:val="List Table 3 Accent 1"/>
    <w:basedOn w:val="TableNormal"/>
    <w:uiPriority w:val="48"/>
    <w:rsid w:val="005755BE"/>
    <w:pPr>
      <w:spacing w:after="0" w:line="240" w:lineRule="auto"/>
    </w:pPr>
    <w:tblPr>
      <w:tblStyleRowBandSize w:val="1"/>
      <w:tblStyleColBandSize w:val="1"/>
      <w:tblBorders>
        <w:top w:val="single" w:sz="4" w:space="0" w:color="7D56C5" w:themeColor="accent1"/>
        <w:left w:val="single" w:sz="4" w:space="0" w:color="7D56C5" w:themeColor="accent1"/>
        <w:bottom w:val="single" w:sz="4" w:space="0" w:color="7D56C5" w:themeColor="accent1"/>
        <w:right w:val="single" w:sz="4" w:space="0" w:color="7D56C5" w:themeColor="accent1"/>
      </w:tblBorders>
    </w:tblPr>
    <w:tblStylePr w:type="firstRow">
      <w:rPr>
        <w:b/>
        <w:bCs/>
        <w:color w:val="FFFFFF" w:themeColor="background1"/>
      </w:rPr>
      <w:tblPr/>
      <w:tcPr>
        <w:shd w:val="clear" w:color="auto" w:fill="7D56C5" w:themeFill="accent1"/>
      </w:tcPr>
    </w:tblStylePr>
    <w:tblStylePr w:type="lastRow">
      <w:rPr>
        <w:b/>
        <w:bCs/>
      </w:rPr>
      <w:tblPr/>
      <w:tcPr>
        <w:tcBorders>
          <w:top w:val="double" w:sz="4" w:space="0" w:color="7D56C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D56C5" w:themeColor="accent1"/>
          <w:right w:val="single" w:sz="4" w:space="0" w:color="7D56C5" w:themeColor="accent1"/>
        </w:tcBorders>
      </w:tcPr>
    </w:tblStylePr>
    <w:tblStylePr w:type="band1Horz">
      <w:tblPr/>
      <w:tcPr>
        <w:tcBorders>
          <w:top w:val="single" w:sz="4" w:space="0" w:color="7D56C5" w:themeColor="accent1"/>
          <w:bottom w:val="single" w:sz="4" w:space="0" w:color="7D56C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D56C5" w:themeColor="accent1"/>
          <w:left w:val="nil"/>
        </w:tcBorders>
      </w:tcPr>
    </w:tblStylePr>
    <w:tblStylePr w:type="swCell">
      <w:tblPr/>
      <w:tcPr>
        <w:tcBorders>
          <w:top w:val="double" w:sz="4" w:space="0" w:color="7D56C5" w:themeColor="accent1"/>
          <w:right w:val="nil"/>
        </w:tcBorders>
      </w:tcPr>
    </w:tblStylePr>
  </w:style>
  <w:style w:type="table" w:styleId="GridTable1Light-Accent1">
    <w:name w:val="Grid Table 1 Light Accent 1"/>
    <w:basedOn w:val="TableNormal"/>
    <w:uiPriority w:val="46"/>
    <w:rsid w:val="00496AA8"/>
    <w:pPr>
      <w:spacing w:after="0" w:line="240" w:lineRule="auto"/>
    </w:pPr>
    <w:tblPr>
      <w:tblStyleRowBandSize w:val="1"/>
      <w:tblStyleColBandSize w:val="1"/>
      <w:tblBorders>
        <w:top w:val="single" w:sz="4" w:space="0" w:color="CABBE7" w:themeColor="accent1" w:themeTint="66"/>
        <w:left w:val="single" w:sz="4" w:space="0" w:color="CABBE7" w:themeColor="accent1" w:themeTint="66"/>
        <w:bottom w:val="single" w:sz="4" w:space="0" w:color="CABBE7" w:themeColor="accent1" w:themeTint="66"/>
        <w:right w:val="single" w:sz="4" w:space="0" w:color="CABBE7" w:themeColor="accent1" w:themeTint="66"/>
        <w:insideH w:val="single" w:sz="4" w:space="0" w:color="CABBE7" w:themeColor="accent1" w:themeTint="66"/>
        <w:insideV w:val="single" w:sz="4" w:space="0" w:color="CABBE7" w:themeColor="accent1" w:themeTint="66"/>
      </w:tblBorders>
    </w:tblPr>
    <w:tblStylePr w:type="firstRow">
      <w:rPr>
        <w:b/>
        <w:bCs/>
      </w:rPr>
      <w:tblPr/>
      <w:tcPr>
        <w:tcBorders>
          <w:bottom w:val="single" w:sz="12" w:space="0" w:color="B099DC" w:themeColor="accent1" w:themeTint="99"/>
        </w:tcBorders>
      </w:tcPr>
    </w:tblStylePr>
    <w:tblStylePr w:type="lastRow">
      <w:rPr>
        <w:b/>
        <w:bCs/>
      </w:rPr>
      <w:tblPr/>
      <w:tcPr>
        <w:tcBorders>
          <w:top w:val="double" w:sz="2" w:space="0" w:color="B099DC" w:themeColor="accen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300688"/>
    <w:pPr>
      <w:spacing w:after="160"/>
      <w:jc w:val="both"/>
    </w:pPr>
    <w:rPr>
      <w:b/>
      <w:bCs/>
      <w:sz w:val="20"/>
      <w:szCs w:val="20"/>
    </w:rPr>
  </w:style>
  <w:style w:type="character" w:customStyle="1" w:styleId="CommentSubjectChar">
    <w:name w:val="Comment Subject Char"/>
    <w:basedOn w:val="CommentTextChar"/>
    <w:link w:val="CommentSubject"/>
    <w:uiPriority w:val="99"/>
    <w:semiHidden/>
    <w:rsid w:val="00300688"/>
    <w:rPr>
      <w:b/>
      <w:bCs/>
      <w:sz w:val="20"/>
      <w:szCs w:val="20"/>
    </w:rPr>
  </w:style>
  <w:style w:type="table" w:styleId="ListTable3-Accent4">
    <w:name w:val="List Table 3 Accent 4"/>
    <w:basedOn w:val="TableNormal"/>
    <w:uiPriority w:val="48"/>
    <w:rsid w:val="00420E9A"/>
    <w:pPr>
      <w:spacing w:after="0" w:line="240" w:lineRule="auto"/>
    </w:pPr>
    <w:tblPr>
      <w:tblStyleRowBandSize w:val="1"/>
      <w:tblStyleColBandSize w:val="1"/>
      <w:tblBorders>
        <w:top w:val="single" w:sz="4" w:space="0" w:color="69BAF8" w:themeColor="accent4"/>
        <w:left w:val="single" w:sz="4" w:space="0" w:color="69BAF8" w:themeColor="accent4"/>
        <w:bottom w:val="single" w:sz="4" w:space="0" w:color="69BAF8" w:themeColor="accent4"/>
        <w:right w:val="single" w:sz="4" w:space="0" w:color="69BAF8" w:themeColor="accent4"/>
      </w:tblBorders>
    </w:tblPr>
    <w:tblStylePr w:type="firstRow">
      <w:rPr>
        <w:b/>
        <w:bCs/>
        <w:color w:val="FFFFFF" w:themeColor="background1"/>
      </w:rPr>
      <w:tblPr/>
      <w:tcPr>
        <w:shd w:val="clear" w:color="auto" w:fill="69BAF8" w:themeFill="accent4"/>
      </w:tcPr>
    </w:tblStylePr>
    <w:tblStylePr w:type="lastRow">
      <w:rPr>
        <w:b/>
        <w:bCs/>
      </w:rPr>
      <w:tblPr/>
      <w:tcPr>
        <w:tcBorders>
          <w:top w:val="double" w:sz="4" w:space="0" w:color="69BAF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9BAF8" w:themeColor="accent4"/>
          <w:right w:val="single" w:sz="4" w:space="0" w:color="69BAF8" w:themeColor="accent4"/>
        </w:tcBorders>
      </w:tcPr>
    </w:tblStylePr>
    <w:tblStylePr w:type="band1Horz">
      <w:tblPr/>
      <w:tcPr>
        <w:tcBorders>
          <w:top w:val="single" w:sz="4" w:space="0" w:color="69BAF8" w:themeColor="accent4"/>
          <w:bottom w:val="single" w:sz="4" w:space="0" w:color="69BAF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9BAF8" w:themeColor="accent4"/>
          <w:left w:val="nil"/>
        </w:tcBorders>
      </w:tcPr>
    </w:tblStylePr>
    <w:tblStylePr w:type="swCell">
      <w:tblPr/>
      <w:tcPr>
        <w:tcBorders>
          <w:top w:val="double" w:sz="4" w:space="0" w:color="69BAF8"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367042">
      <w:bodyDiv w:val="1"/>
      <w:marLeft w:val="0"/>
      <w:marRight w:val="0"/>
      <w:marTop w:val="0"/>
      <w:marBottom w:val="0"/>
      <w:divBdr>
        <w:top w:val="none" w:sz="0" w:space="0" w:color="auto"/>
        <w:left w:val="none" w:sz="0" w:space="0" w:color="auto"/>
        <w:bottom w:val="none" w:sz="0" w:space="0" w:color="auto"/>
        <w:right w:val="none" w:sz="0" w:space="0" w:color="auto"/>
      </w:divBdr>
    </w:div>
    <w:div w:id="640581451">
      <w:bodyDiv w:val="1"/>
      <w:marLeft w:val="0"/>
      <w:marRight w:val="0"/>
      <w:marTop w:val="0"/>
      <w:marBottom w:val="0"/>
      <w:divBdr>
        <w:top w:val="none" w:sz="0" w:space="0" w:color="auto"/>
        <w:left w:val="none" w:sz="0" w:space="0" w:color="auto"/>
        <w:bottom w:val="none" w:sz="0" w:space="0" w:color="auto"/>
        <w:right w:val="none" w:sz="0" w:space="0" w:color="auto"/>
      </w:divBdr>
    </w:div>
    <w:div w:id="1287392047">
      <w:bodyDiv w:val="1"/>
      <w:marLeft w:val="0"/>
      <w:marRight w:val="0"/>
      <w:marTop w:val="0"/>
      <w:marBottom w:val="0"/>
      <w:divBdr>
        <w:top w:val="none" w:sz="0" w:space="0" w:color="auto"/>
        <w:left w:val="none" w:sz="0" w:space="0" w:color="auto"/>
        <w:bottom w:val="none" w:sz="0" w:space="0" w:color="auto"/>
        <w:right w:val="none" w:sz="0" w:space="0" w:color="auto"/>
      </w:divBdr>
    </w:div>
    <w:div w:id="1288926751">
      <w:bodyDiv w:val="1"/>
      <w:marLeft w:val="0"/>
      <w:marRight w:val="0"/>
      <w:marTop w:val="0"/>
      <w:marBottom w:val="0"/>
      <w:divBdr>
        <w:top w:val="none" w:sz="0" w:space="0" w:color="auto"/>
        <w:left w:val="none" w:sz="0" w:space="0" w:color="auto"/>
        <w:bottom w:val="none" w:sz="0" w:space="0" w:color="auto"/>
        <w:right w:val="none" w:sz="0" w:space="0" w:color="auto"/>
      </w:divBdr>
    </w:div>
    <w:div w:id="1383023604">
      <w:bodyDiv w:val="1"/>
      <w:marLeft w:val="0"/>
      <w:marRight w:val="0"/>
      <w:marTop w:val="0"/>
      <w:marBottom w:val="0"/>
      <w:divBdr>
        <w:top w:val="none" w:sz="0" w:space="0" w:color="auto"/>
        <w:left w:val="none" w:sz="0" w:space="0" w:color="auto"/>
        <w:bottom w:val="none" w:sz="0" w:space="0" w:color="auto"/>
        <w:right w:val="none" w:sz="0" w:space="0" w:color="auto"/>
      </w:divBdr>
      <w:divsChild>
        <w:div w:id="839198268">
          <w:marLeft w:val="446"/>
          <w:marRight w:val="0"/>
          <w:marTop w:val="0"/>
          <w:marBottom w:val="0"/>
          <w:divBdr>
            <w:top w:val="none" w:sz="0" w:space="0" w:color="auto"/>
            <w:left w:val="none" w:sz="0" w:space="0" w:color="auto"/>
            <w:bottom w:val="none" w:sz="0" w:space="0" w:color="auto"/>
            <w:right w:val="none" w:sz="0" w:space="0" w:color="auto"/>
          </w:divBdr>
        </w:div>
        <w:div w:id="1146163696">
          <w:marLeft w:val="446"/>
          <w:marRight w:val="0"/>
          <w:marTop w:val="0"/>
          <w:marBottom w:val="0"/>
          <w:divBdr>
            <w:top w:val="none" w:sz="0" w:space="0" w:color="auto"/>
            <w:left w:val="none" w:sz="0" w:space="0" w:color="auto"/>
            <w:bottom w:val="none" w:sz="0" w:space="0" w:color="auto"/>
            <w:right w:val="none" w:sz="0" w:space="0" w:color="auto"/>
          </w:divBdr>
        </w:div>
        <w:div w:id="2073431008">
          <w:marLeft w:val="446"/>
          <w:marRight w:val="0"/>
          <w:marTop w:val="0"/>
          <w:marBottom w:val="0"/>
          <w:divBdr>
            <w:top w:val="none" w:sz="0" w:space="0" w:color="auto"/>
            <w:left w:val="none" w:sz="0" w:space="0" w:color="auto"/>
            <w:bottom w:val="none" w:sz="0" w:space="0" w:color="auto"/>
            <w:right w:val="none" w:sz="0" w:space="0" w:color="auto"/>
          </w:divBdr>
        </w:div>
      </w:divsChild>
    </w:div>
    <w:div w:id="1623683100">
      <w:bodyDiv w:val="1"/>
      <w:marLeft w:val="0"/>
      <w:marRight w:val="0"/>
      <w:marTop w:val="0"/>
      <w:marBottom w:val="0"/>
      <w:divBdr>
        <w:top w:val="none" w:sz="0" w:space="0" w:color="auto"/>
        <w:left w:val="none" w:sz="0" w:space="0" w:color="auto"/>
        <w:bottom w:val="none" w:sz="0" w:space="0" w:color="auto"/>
        <w:right w:val="none" w:sz="0" w:space="0" w:color="auto"/>
      </w:divBdr>
    </w:div>
    <w:div w:id="1730417967">
      <w:bodyDiv w:val="1"/>
      <w:marLeft w:val="0"/>
      <w:marRight w:val="0"/>
      <w:marTop w:val="0"/>
      <w:marBottom w:val="0"/>
      <w:divBdr>
        <w:top w:val="none" w:sz="0" w:space="0" w:color="auto"/>
        <w:left w:val="none" w:sz="0" w:space="0" w:color="auto"/>
        <w:bottom w:val="none" w:sz="0" w:space="0" w:color="auto"/>
        <w:right w:val="none" w:sz="0" w:space="0" w:color="auto"/>
      </w:divBdr>
    </w:div>
    <w:div w:id="2022657042">
      <w:bodyDiv w:val="1"/>
      <w:marLeft w:val="0"/>
      <w:marRight w:val="0"/>
      <w:marTop w:val="0"/>
      <w:marBottom w:val="0"/>
      <w:divBdr>
        <w:top w:val="none" w:sz="0" w:space="0" w:color="auto"/>
        <w:left w:val="none" w:sz="0" w:space="0" w:color="auto"/>
        <w:bottom w:val="none" w:sz="0" w:space="0" w:color="auto"/>
        <w:right w:val="none" w:sz="0" w:space="0" w:color="auto"/>
      </w:divBdr>
    </w:div>
    <w:div w:id="210071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etR\Sensei%20Productivity\Altus%20-%20Marketing\Office%20Templates\Altus%20Word%20Template%202023.dotx" TargetMode="External"/></Relationships>
</file>

<file path=word/theme/theme1.xml><?xml version="1.0" encoding="utf-8"?>
<a:theme xmlns:a="http://schemas.openxmlformats.org/drawingml/2006/main" name="Altus Theme">
  <a:themeElements>
    <a:clrScheme name="Altus Colors">
      <a:dk1>
        <a:sysClr val="windowText" lastClr="000000"/>
      </a:dk1>
      <a:lt1>
        <a:sysClr val="window" lastClr="FFFFFF"/>
      </a:lt1>
      <a:dk2>
        <a:srgbClr val="6D6E6E"/>
      </a:dk2>
      <a:lt2>
        <a:srgbClr val="D8D7D6"/>
      </a:lt2>
      <a:accent1>
        <a:srgbClr val="7D56C5"/>
      </a:accent1>
      <a:accent2>
        <a:srgbClr val="BCA7E1"/>
      </a:accent2>
      <a:accent3>
        <a:srgbClr val="1F4F8B"/>
      </a:accent3>
      <a:accent4>
        <a:srgbClr val="69BAF8"/>
      </a:accent4>
      <a:accent5>
        <a:srgbClr val="1DD3B0"/>
      </a:accent5>
      <a:accent6>
        <a:srgbClr val="00A694"/>
      </a:accent6>
      <a:hlink>
        <a:srgbClr val="69BAF8"/>
      </a:hlink>
      <a:folHlink>
        <a:srgbClr val="7D56C5"/>
      </a:folHlink>
    </a:clrScheme>
    <a:fontScheme name="Altus Fonts">
      <a:majorFont>
        <a:latin typeface="Riforma LL Medium"/>
        <a:ea typeface=""/>
        <a:cs typeface=""/>
      </a:majorFont>
      <a:minorFont>
        <a:latin typeface="Riforma 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ltus Theme" id="{FFD7F07D-FDF4-4B60-BDEB-2BCE2E87C573}" vid="{CB630DCA-F722-41F6-8D5E-5F0B6D7496A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a541d6c-e4ed-46f6-b93e-a5fe3b15b46c">
      <Terms xmlns="http://schemas.microsoft.com/office/infopath/2007/PartnerControls"/>
    </lcf76f155ced4ddcb4097134ff3c332f>
    <TaxCatchAll xmlns="99329a04-b63c-49e1-b509-e71877362d4a" xsi:nil="true"/>
    <SharedWithUsers xmlns="99329a04-b63c-49e1-b509-e71877362d4a">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D8480077898647A41B2E316F53EFA4" ma:contentTypeVersion="18" ma:contentTypeDescription="Create a new document." ma:contentTypeScope="" ma:versionID="9ff0694161a893ae62e874bb03ca8125">
  <xsd:schema xmlns:xsd="http://www.w3.org/2001/XMLSchema" xmlns:xs="http://www.w3.org/2001/XMLSchema" xmlns:p="http://schemas.microsoft.com/office/2006/metadata/properties" xmlns:ns1="http://schemas.microsoft.com/sharepoint/v3" xmlns:ns2="ea541d6c-e4ed-46f6-b93e-a5fe3b15b46c" xmlns:ns3="99329a04-b63c-49e1-b509-e71877362d4a" targetNamespace="http://schemas.microsoft.com/office/2006/metadata/properties" ma:root="true" ma:fieldsID="236cc73cb007832b75432d17da3976ce" ns1:_="" ns2:_="" ns3:_="">
    <xsd:import namespace="http://schemas.microsoft.com/sharepoint/v3"/>
    <xsd:import namespace="ea541d6c-e4ed-46f6-b93e-a5fe3b15b46c"/>
    <xsd:import namespace="99329a04-b63c-49e1-b509-e71877362d4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ObjectDetectorVersions" minOccurs="0"/>
                <xsd:element ref="ns2:MediaServiceDateTaken" minOccurs="0"/>
                <xsd:element ref="ns2:MediaLengthInSeconds" minOccurs="0"/>
                <xsd:element ref="ns1:_ip_UnifiedCompliancePolicyProperties" minOccurs="0"/>
                <xsd:element ref="ns1:_ip_UnifiedCompliancePolicyUIAction"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541d6c-e4ed-46f6-b93e-a5fe3b15b4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aea9e7-5099-435f-97a2-3b62b33c1e9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329a04-b63c-49e1-b509-e71877362d4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38cf585-b25d-457b-bdc1-92196685c9a9}" ma:internalName="TaxCatchAll" ma:showField="CatchAllData" ma:web="99329a04-b63c-49e1-b509-e71877362d4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4D0FAE-7E0E-4C96-B4A3-CB786DB301F2}">
  <ds:schemaRefs>
    <ds:schemaRef ds:uri="http://schemas.openxmlformats.org/officeDocument/2006/bibliography"/>
  </ds:schemaRefs>
</ds:datastoreItem>
</file>

<file path=customXml/itemProps2.xml><?xml version="1.0" encoding="utf-8"?>
<ds:datastoreItem xmlns:ds="http://schemas.openxmlformats.org/officeDocument/2006/customXml" ds:itemID="{A6018D51-ED59-4E0A-A361-3DAD5686865B}">
  <ds:schemaRefs>
    <ds:schemaRef ds:uri="http://schemas.microsoft.com/office/2006/metadata/properties"/>
    <ds:schemaRef ds:uri="http://schemas.microsoft.com/office/infopath/2007/PartnerControls"/>
    <ds:schemaRef ds:uri="b0a83764-4bcb-4a45-8448-2bc2ca2a5fad"/>
    <ds:schemaRef ds:uri="75b23e06-80bd-4a32-a9fc-4e446e291e01"/>
    <ds:schemaRef ds:uri="http://schemas.microsoft.com/sharepoint/v3"/>
  </ds:schemaRefs>
</ds:datastoreItem>
</file>

<file path=customXml/itemProps3.xml><?xml version="1.0" encoding="utf-8"?>
<ds:datastoreItem xmlns:ds="http://schemas.openxmlformats.org/officeDocument/2006/customXml" ds:itemID="{6E927950-6766-4CAE-84F1-AD98C82F399D}">
  <ds:schemaRefs>
    <ds:schemaRef ds:uri="http://schemas.microsoft.com/sharepoint/v3/contenttype/forms"/>
  </ds:schemaRefs>
</ds:datastoreItem>
</file>

<file path=customXml/itemProps4.xml><?xml version="1.0" encoding="utf-8"?>
<ds:datastoreItem xmlns:ds="http://schemas.openxmlformats.org/officeDocument/2006/customXml" ds:itemID="{852BFD81-70C7-45FE-959B-FBF3B3F5AFF6}"/>
</file>

<file path=docMetadata/LabelInfo.xml><?xml version="1.0" encoding="utf-8"?>
<clbl:labelList xmlns:clbl="http://schemas.microsoft.com/office/2020/mipLabelMetadata">
  <clbl:label id="{9df921d9-cf47-43d2-8bbe-ce070e66507c}" enabled="0" method="" siteId="{9df921d9-cf47-43d2-8bbe-ce070e66507c}" removed="1"/>
</clbl:labelList>
</file>

<file path=docProps/app.xml><?xml version="1.0" encoding="utf-8"?>
<Properties xmlns="http://schemas.openxmlformats.org/officeDocument/2006/extended-properties" xmlns:vt="http://schemas.openxmlformats.org/officeDocument/2006/docPropsVTypes">
  <Template>Altus Word Template 2023.dotx</Template>
  <TotalTime>1492</TotalTime>
  <Pages>8</Pages>
  <Words>2048</Words>
  <Characters>12079</Characters>
  <Application>Microsoft Office Word</Application>
  <DocSecurity>0</DocSecurity>
  <Lines>259</Lines>
  <Paragraphs>99</Paragraphs>
  <ScaleCrop>false</ScaleCrop>
  <HeadingPairs>
    <vt:vector size="2" baseType="variant">
      <vt:variant>
        <vt:lpstr>Title</vt:lpstr>
      </vt:variant>
      <vt:variant>
        <vt:i4>1</vt:i4>
      </vt:variant>
    </vt:vector>
  </HeadingPairs>
  <TitlesOfParts>
    <vt:vector size="1" baseType="lpstr">
      <vt:lpstr/>
    </vt:vector>
  </TitlesOfParts>
  <Company>La Trobe University</Company>
  <LinksUpToDate>false</LinksUpToDate>
  <CharactersWithSpaces>14030</CharactersWithSpaces>
  <SharedDoc>false</SharedDoc>
  <HLinks>
    <vt:vector size="318" baseType="variant">
      <vt:variant>
        <vt:i4>983134</vt:i4>
      </vt:variant>
      <vt:variant>
        <vt:i4>330</vt:i4>
      </vt:variant>
      <vt:variant>
        <vt:i4>0</vt:i4>
      </vt:variant>
      <vt:variant>
        <vt:i4>5</vt:i4>
      </vt:variant>
      <vt:variant>
        <vt:lpwstr>https://support.microsoft.com/en-au/office/send-a-form-and-collect-responses-2eaf3294-0cff-492d-884d-a1dee909e845</vt:lpwstr>
      </vt:variant>
      <vt:variant>
        <vt:lpwstr/>
      </vt:variant>
      <vt:variant>
        <vt:i4>7209067</vt:i4>
      </vt:variant>
      <vt:variant>
        <vt:i4>327</vt:i4>
      </vt:variant>
      <vt:variant>
        <vt:i4>0</vt:i4>
      </vt:variant>
      <vt:variant>
        <vt:i4>5</vt:i4>
      </vt:variant>
      <vt:variant>
        <vt:lpwstr>https://support.microsoft.com/en-au/office/create-a-form-with-microsoft-forms-4ffb64cc-7d5d-402f-b82e-b1d49418fd9d</vt:lpwstr>
      </vt:variant>
      <vt:variant>
        <vt:lpwstr/>
      </vt:variant>
      <vt:variant>
        <vt:i4>1441908</vt:i4>
      </vt:variant>
      <vt:variant>
        <vt:i4>309</vt:i4>
      </vt:variant>
      <vt:variant>
        <vt:i4>0</vt:i4>
      </vt:variant>
      <vt:variant>
        <vt:i4>5</vt:i4>
      </vt:variant>
      <vt:variant>
        <vt:lpwstr>https://senseicloud.sharepoint.com/:f:/s/SenseiPartnerProgram/IgDKMO6OUI3iQLcRBImlj_7fAV5Oi3ZgyLPKwgry77Wqc5M?e=ewzGZc</vt:lpwstr>
      </vt:variant>
      <vt:variant>
        <vt:lpwstr/>
      </vt:variant>
      <vt:variant>
        <vt:i4>2424894</vt:i4>
      </vt:variant>
      <vt:variant>
        <vt:i4>306</vt:i4>
      </vt:variant>
      <vt:variant>
        <vt:i4>0</vt:i4>
      </vt:variant>
      <vt:variant>
        <vt:i4>5</vt:i4>
      </vt:variant>
      <vt:variant>
        <vt:lpwstr>https://docs.altus.pro/products/AltusForProject/Configuration.html</vt:lpwstr>
      </vt:variant>
      <vt:variant>
        <vt:lpwstr>microsoft-project-to-altus-field-mapping</vt:lpwstr>
      </vt:variant>
      <vt:variant>
        <vt:i4>7143474</vt:i4>
      </vt:variant>
      <vt:variant>
        <vt:i4>303</vt:i4>
      </vt:variant>
      <vt:variant>
        <vt:i4>0</vt:i4>
      </vt:variant>
      <vt:variant>
        <vt:i4>5</vt:i4>
      </vt:variant>
      <vt:variant>
        <vt:lpwstr>https://make.powerapps.com/</vt:lpwstr>
      </vt:variant>
      <vt:variant>
        <vt:lpwstr/>
      </vt:variant>
      <vt:variant>
        <vt:i4>2162784</vt:i4>
      </vt:variant>
      <vt:variant>
        <vt:i4>300</vt:i4>
      </vt:variant>
      <vt:variant>
        <vt:i4>0</vt:i4>
      </vt:variant>
      <vt:variant>
        <vt:i4>5</vt:i4>
      </vt:variant>
      <vt:variant>
        <vt:lpwstr>https://docs.altus.pro/products/AltusPPM/Configuration/Work/index.html</vt:lpwstr>
      </vt:variant>
      <vt:variant>
        <vt:lpwstr/>
      </vt:variant>
      <vt:variant>
        <vt:i4>524313</vt:i4>
      </vt:variant>
      <vt:variant>
        <vt:i4>297</vt:i4>
      </vt:variant>
      <vt:variant>
        <vt:i4>0</vt:i4>
      </vt:variant>
      <vt:variant>
        <vt:i4>5</vt:i4>
      </vt:variant>
      <vt:variant>
        <vt:lpwstr>https://admin.powerplatform.microsoft.com/manage/environments</vt:lpwstr>
      </vt:variant>
      <vt:variant>
        <vt:lpwstr/>
      </vt:variant>
      <vt:variant>
        <vt:i4>1966083</vt:i4>
      </vt:variant>
      <vt:variant>
        <vt:i4>294</vt:i4>
      </vt:variant>
      <vt:variant>
        <vt:i4>0</vt:i4>
      </vt:variant>
      <vt:variant>
        <vt:i4>5</vt:i4>
      </vt:variant>
      <vt:variant>
        <vt:lpwstr>https://docs.altus.pro/products/AltusPPM/AsBuilt/Settings/Project-Configuration.html?q=fiscal%20period</vt:lpwstr>
      </vt:variant>
      <vt:variant>
        <vt:lpwstr>fiscal-periods</vt:lpwstr>
      </vt:variant>
      <vt:variant>
        <vt:i4>2818093</vt:i4>
      </vt:variant>
      <vt:variant>
        <vt:i4>267</vt:i4>
      </vt:variant>
      <vt:variant>
        <vt:i4>0</vt:i4>
      </vt:variant>
      <vt:variant>
        <vt:i4>5</vt:i4>
      </vt:variant>
      <vt:variant>
        <vt:lpwstr>https://docs.altus.pro/products/AltusPPM/Deployment/index.html</vt:lpwstr>
      </vt:variant>
      <vt:variant>
        <vt:lpwstr/>
      </vt:variant>
      <vt:variant>
        <vt:i4>3342455</vt:i4>
      </vt:variant>
      <vt:variant>
        <vt:i4>264</vt:i4>
      </vt:variant>
      <vt:variant>
        <vt:i4>0</vt:i4>
      </vt:variant>
      <vt:variant>
        <vt:i4>5</vt:i4>
      </vt:variant>
      <vt:variant>
        <vt:lpwstr>https://docs.altus.pro/products/AltusForWord/index.html</vt:lpwstr>
      </vt:variant>
      <vt:variant>
        <vt:lpwstr/>
      </vt:variant>
      <vt:variant>
        <vt:i4>2818093</vt:i4>
      </vt:variant>
      <vt:variant>
        <vt:i4>261</vt:i4>
      </vt:variant>
      <vt:variant>
        <vt:i4>0</vt:i4>
      </vt:variant>
      <vt:variant>
        <vt:i4>5</vt:i4>
      </vt:variant>
      <vt:variant>
        <vt:lpwstr>https://docs.altus.pro/products/AltusPPM/Deployment/index.html</vt:lpwstr>
      </vt:variant>
      <vt:variant>
        <vt:lpwstr/>
      </vt:variant>
      <vt:variant>
        <vt:i4>6422572</vt:i4>
      </vt:variant>
      <vt:variant>
        <vt:i4>258</vt:i4>
      </vt:variant>
      <vt:variant>
        <vt:i4>0</vt:i4>
      </vt:variant>
      <vt:variant>
        <vt:i4>5</vt:i4>
      </vt:variant>
      <vt:variant>
        <vt:lpwstr>https://docs.altus.pro/products/AltusForProject/Deployment.html?tabs=Admin%2CGA</vt:lpwstr>
      </vt:variant>
      <vt:variant>
        <vt:lpwstr/>
      </vt:variant>
      <vt:variant>
        <vt:i4>3604606</vt:i4>
      </vt:variant>
      <vt:variant>
        <vt:i4>255</vt:i4>
      </vt:variant>
      <vt:variant>
        <vt:i4>0</vt:i4>
      </vt:variant>
      <vt:variant>
        <vt:i4>5</vt:i4>
      </vt:variant>
      <vt:variant>
        <vt:lpwstr>https://docs.altus.pro/products/AltusPPM/Deployment/TechReadiness/index.html?tabs=ConsentPublic</vt:lpwstr>
      </vt:variant>
      <vt:variant>
        <vt:lpwstr/>
      </vt:variant>
      <vt:variant>
        <vt:i4>1769566</vt:i4>
      </vt:variant>
      <vt:variant>
        <vt:i4>252</vt:i4>
      </vt:variant>
      <vt:variant>
        <vt:i4>0</vt:i4>
      </vt:variant>
      <vt:variant>
        <vt:i4>5</vt:i4>
      </vt:variant>
      <vt:variant>
        <vt:lpwstr>https://learn.microsoft.com/en-us/previous-versions/office/project-javascript-api/jj669472(v=office.15)</vt:lpwstr>
      </vt:variant>
      <vt:variant>
        <vt:lpwstr>members</vt:lpwstr>
      </vt:variant>
      <vt:variant>
        <vt:i4>4456522</vt:i4>
      </vt:variant>
      <vt:variant>
        <vt:i4>237</vt:i4>
      </vt:variant>
      <vt:variant>
        <vt:i4>0</vt:i4>
      </vt:variant>
      <vt:variant>
        <vt:i4>5</vt:i4>
      </vt:variant>
      <vt:variant>
        <vt:lpwstr>https://senseicloud.sharepoint.com/:f:/s/ProjectOnlineDataMigration2026/IgAbuXkk137gQKwqy7ZJ4DtpAT4kxzuDZ2QuOLYeYYNe2us?e=Ux5WKn</vt:lpwstr>
      </vt:variant>
      <vt:variant>
        <vt:lpwstr/>
      </vt:variant>
      <vt:variant>
        <vt:i4>1114170</vt:i4>
      </vt:variant>
      <vt:variant>
        <vt:i4>224</vt:i4>
      </vt:variant>
      <vt:variant>
        <vt:i4>0</vt:i4>
      </vt:variant>
      <vt:variant>
        <vt:i4>5</vt:i4>
      </vt:variant>
      <vt:variant>
        <vt:lpwstr/>
      </vt:variant>
      <vt:variant>
        <vt:lpwstr>_Toc224293552</vt:lpwstr>
      </vt:variant>
      <vt:variant>
        <vt:i4>1114170</vt:i4>
      </vt:variant>
      <vt:variant>
        <vt:i4>218</vt:i4>
      </vt:variant>
      <vt:variant>
        <vt:i4>0</vt:i4>
      </vt:variant>
      <vt:variant>
        <vt:i4>5</vt:i4>
      </vt:variant>
      <vt:variant>
        <vt:lpwstr/>
      </vt:variant>
      <vt:variant>
        <vt:lpwstr>_Toc224293551</vt:lpwstr>
      </vt:variant>
      <vt:variant>
        <vt:i4>1114170</vt:i4>
      </vt:variant>
      <vt:variant>
        <vt:i4>212</vt:i4>
      </vt:variant>
      <vt:variant>
        <vt:i4>0</vt:i4>
      </vt:variant>
      <vt:variant>
        <vt:i4>5</vt:i4>
      </vt:variant>
      <vt:variant>
        <vt:lpwstr/>
      </vt:variant>
      <vt:variant>
        <vt:lpwstr>_Toc224293550</vt:lpwstr>
      </vt:variant>
      <vt:variant>
        <vt:i4>1048634</vt:i4>
      </vt:variant>
      <vt:variant>
        <vt:i4>206</vt:i4>
      </vt:variant>
      <vt:variant>
        <vt:i4>0</vt:i4>
      </vt:variant>
      <vt:variant>
        <vt:i4>5</vt:i4>
      </vt:variant>
      <vt:variant>
        <vt:lpwstr/>
      </vt:variant>
      <vt:variant>
        <vt:lpwstr>_Toc224293549</vt:lpwstr>
      </vt:variant>
      <vt:variant>
        <vt:i4>1048634</vt:i4>
      </vt:variant>
      <vt:variant>
        <vt:i4>200</vt:i4>
      </vt:variant>
      <vt:variant>
        <vt:i4>0</vt:i4>
      </vt:variant>
      <vt:variant>
        <vt:i4>5</vt:i4>
      </vt:variant>
      <vt:variant>
        <vt:lpwstr/>
      </vt:variant>
      <vt:variant>
        <vt:lpwstr>_Toc224293548</vt:lpwstr>
      </vt:variant>
      <vt:variant>
        <vt:i4>1048634</vt:i4>
      </vt:variant>
      <vt:variant>
        <vt:i4>194</vt:i4>
      </vt:variant>
      <vt:variant>
        <vt:i4>0</vt:i4>
      </vt:variant>
      <vt:variant>
        <vt:i4>5</vt:i4>
      </vt:variant>
      <vt:variant>
        <vt:lpwstr/>
      </vt:variant>
      <vt:variant>
        <vt:lpwstr>_Toc224293547</vt:lpwstr>
      </vt:variant>
      <vt:variant>
        <vt:i4>1048634</vt:i4>
      </vt:variant>
      <vt:variant>
        <vt:i4>188</vt:i4>
      </vt:variant>
      <vt:variant>
        <vt:i4>0</vt:i4>
      </vt:variant>
      <vt:variant>
        <vt:i4>5</vt:i4>
      </vt:variant>
      <vt:variant>
        <vt:lpwstr/>
      </vt:variant>
      <vt:variant>
        <vt:lpwstr>_Toc224293546</vt:lpwstr>
      </vt:variant>
      <vt:variant>
        <vt:i4>1048634</vt:i4>
      </vt:variant>
      <vt:variant>
        <vt:i4>182</vt:i4>
      </vt:variant>
      <vt:variant>
        <vt:i4>0</vt:i4>
      </vt:variant>
      <vt:variant>
        <vt:i4>5</vt:i4>
      </vt:variant>
      <vt:variant>
        <vt:lpwstr/>
      </vt:variant>
      <vt:variant>
        <vt:lpwstr>_Toc224293545</vt:lpwstr>
      </vt:variant>
      <vt:variant>
        <vt:i4>1048634</vt:i4>
      </vt:variant>
      <vt:variant>
        <vt:i4>176</vt:i4>
      </vt:variant>
      <vt:variant>
        <vt:i4>0</vt:i4>
      </vt:variant>
      <vt:variant>
        <vt:i4>5</vt:i4>
      </vt:variant>
      <vt:variant>
        <vt:lpwstr/>
      </vt:variant>
      <vt:variant>
        <vt:lpwstr>_Toc224293544</vt:lpwstr>
      </vt:variant>
      <vt:variant>
        <vt:i4>1048634</vt:i4>
      </vt:variant>
      <vt:variant>
        <vt:i4>170</vt:i4>
      </vt:variant>
      <vt:variant>
        <vt:i4>0</vt:i4>
      </vt:variant>
      <vt:variant>
        <vt:i4>5</vt:i4>
      </vt:variant>
      <vt:variant>
        <vt:lpwstr/>
      </vt:variant>
      <vt:variant>
        <vt:lpwstr>_Toc224293543</vt:lpwstr>
      </vt:variant>
      <vt:variant>
        <vt:i4>1048634</vt:i4>
      </vt:variant>
      <vt:variant>
        <vt:i4>164</vt:i4>
      </vt:variant>
      <vt:variant>
        <vt:i4>0</vt:i4>
      </vt:variant>
      <vt:variant>
        <vt:i4>5</vt:i4>
      </vt:variant>
      <vt:variant>
        <vt:lpwstr/>
      </vt:variant>
      <vt:variant>
        <vt:lpwstr>_Toc224293542</vt:lpwstr>
      </vt:variant>
      <vt:variant>
        <vt:i4>1048634</vt:i4>
      </vt:variant>
      <vt:variant>
        <vt:i4>158</vt:i4>
      </vt:variant>
      <vt:variant>
        <vt:i4>0</vt:i4>
      </vt:variant>
      <vt:variant>
        <vt:i4>5</vt:i4>
      </vt:variant>
      <vt:variant>
        <vt:lpwstr/>
      </vt:variant>
      <vt:variant>
        <vt:lpwstr>_Toc224293541</vt:lpwstr>
      </vt:variant>
      <vt:variant>
        <vt:i4>1048634</vt:i4>
      </vt:variant>
      <vt:variant>
        <vt:i4>152</vt:i4>
      </vt:variant>
      <vt:variant>
        <vt:i4>0</vt:i4>
      </vt:variant>
      <vt:variant>
        <vt:i4>5</vt:i4>
      </vt:variant>
      <vt:variant>
        <vt:lpwstr/>
      </vt:variant>
      <vt:variant>
        <vt:lpwstr>_Toc224293540</vt:lpwstr>
      </vt:variant>
      <vt:variant>
        <vt:i4>1507386</vt:i4>
      </vt:variant>
      <vt:variant>
        <vt:i4>146</vt:i4>
      </vt:variant>
      <vt:variant>
        <vt:i4>0</vt:i4>
      </vt:variant>
      <vt:variant>
        <vt:i4>5</vt:i4>
      </vt:variant>
      <vt:variant>
        <vt:lpwstr/>
      </vt:variant>
      <vt:variant>
        <vt:lpwstr>_Toc224293539</vt:lpwstr>
      </vt:variant>
      <vt:variant>
        <vt:i4>1507386</vt:i4>
      </vt:variant>
      <vt:variant>
        <vt:i4>140</vt:i4>
      </vt:variant>
      <vt:variant>
        <vt:i4>0</vt:i4>
      </vt:variant>
      <vt:variant>
        <vt:i4>5</vt:i4>
      </vt:variant>
      <vt:variant>
        <vt:lpwstr/>
      </vt:variant>
      <vt:variant>
        <vt:lpwstr>_Toc224293538</vt:lpwstr>
      </vt:variant>
      <vt:variant>
        <vt:i4>1507386</vt:i4>
      </vt:variant>
      <vt:variant>
        <vt:i4>134</vt:i4>
      </vt:variant>
      <vt:variant>
        <vt:i4>0</vt:i4>
      </vt:variant>
      <vt:variant>
        <vt:i4>5</vt:i4>
      </vt:variant>
      <vt:variant>
        <vt:lpwstr/>
      </vt:variant>
      <vt:variant>
        <vt:lpwstr>_Toc224293537</vt:lpwstr>
      </vt:variant>
      <vt:variant>
        <vt:i4>1507386</vt:i4>
      </vt:variant>
      <vt:variant>
        <vt:i4>128</vt:i4>
      </vt:variant>
      <vt:variant>
        <vt:i4>0</vt:i4>
      </vt:variant>
      <vt:variant>
        <vt:i4>5</vt:i4>
      </vt:variant>
      <vt:variant>
        <vt:lpwstr/>
      </vt:variant>
      <vt:variant>
        <vt:lpwstr>_Toc224293536</vt:lpwstr>
      </vt:variant>
      <vt:variant>
        <vt:i4>1507386</vt:i4>
      </vt:variant>
      <vt:variant>
        <vt:i4>122</vt:i4>
      </vt:variant>
      <vt:variant>
        <vt:i4>0</vt:i4>
      </vt:variant>
      <vt:variant>
        <vt:i4>5</vt:i4>
      </vt:variant>
      <vt:variant>
        <vt:lpwstr/>
      </vt:variant>
      <vt:variant>
        <vt:lpwstr>_Toc224293535</vt:lpwstr>
      </vt:variant>
      <vt:variant>
        <vt:i4>1507386</vt:i4>
      </vt:variant>
      <vt:variant>
        <vt:i4>116</vt:i4>
      </vt:variant>
      <vt:variant>
        <vt:i4>0</vt:i4>
      </vt:variant>
      <vt:variant>
        <vt:i4>5</vt:i4>
      </vt:variant>
      <vt:variant>
        <vt:lpwstr/>
      </vt:variant>
      <vt:variant>
        <vt:lpwstr>_Toc224293534</vt:lpwstr>
      </vt:variant>
      <vt:variant>
        <vt:i4>1507386</vt:i4>
      </vt:variant>
      <vt:variant>
        <vt:i4>110</vt:i4>
      </vt:variant>
      <vt:variant>
        <vt:i4>0</vt:i4>
      </vt:variant>
      <vt:variant>
        <vt:i4>5</vt:i4>
      </vt:variant>
      <vt:variant>
        <vt:lpwstr/>
      </vt:variant>
      <vt:variant>
        <vt:lpwstr>_Toc224293533</vt:lpwstr>
      </vt:variant>
      <vt:variant>
        <vt:i4>1507386</vt:i4>
      </vt:variant>
      <vt:variant>
        <vt:i4>104</vt:i4>
      </vt:variant>
      <vt:variant>
        <vt:i4>0</vt:i4>
      </vt:variant>
      <vt:variant>
        <vt:i4>5</vt:i4>
      </vt:variant>
      <vt:variant>
        <vt:lpwstr/>
      </vt:variant>
      <vt:variant>
        <vt:lpwstr>_Toc224293532</vt:lpwstr>
      </vt:variant>
      <vt:variant>
        <vt:i4>1507386</vt:i4>
      </vt:variant>
      <vt:variant>
        <vt:i4>98</vt:i4>
      </vt:variant>
      <vt:variant>
        <vt:i4>0</vt:i4>
      </vt:variant>
      <vt:variant>
        <vt:i4>5</vt:i4>
      </vt:variant>
      <vt:variant>
        <vt:lpwstr/>
      </vt:variant>
      <vt:variant>
        <vt:lpwstr>_Toc224293531</vt:lpwstr>
      </vt:variant>
      <vt:variant>
        <vt:i4>1507386</vt:i4>
      </vt:variant>
      <vt:variant>
        <vt:i4>92</vt:i4>
      </vt:variant>
      <vt:variant>
        <vt:i4>0</vt:i4>
      </vt:variant>
      <vt:variant>
        <vt:i4>5</vt:i4>
      </vt:variant>
      <vt:variant>
        <vt:lpwstr/>
      </vt:variant>
      <vt:variant>
        <vt:lpwstr>_Toc224293530</vt:lpwstr>
      </vt:variant>
      <vt:variant>
        <vt:i4>1441850</vt:i4>
      </vt:variant>
      <vt:variant>
        <vt:i4>86</vt:i4>
      </vt:variant>
      <vt:variant>
        <vt:i4>0</vt:i4>
      </vt:variant>
      <vt:variant>
        <vt:i4>5</vt:i4>
      </vt:variant>
      <vt:variant>
        <vt:lpwstr/>
      </vt:variant>
      <vt:variant>
        <vt:lpwstr>_Toc224293529</vt:lpwstr>
      </vt:variant>
      <vt:variant>
        <vt:i4>1441850</vt:i4>
      </vt:variant>
      <vt:variant>
        <vt:i4>80</vt:i4>
      </vt:variant>
      <vt:variant>
        <vt:i4>0</vt:i4>
      </vt:variant>
      <vt:variant>
        <vt:i4>5</vt:i4>
      </vt:variant>
      <vt:variant>
        <vt:lpwstr/>
      </vt:variant>
      <vt:variant>
        <vt:lpwstr>_Toc224293528</vt:lpwstr>
      </vt:variant>
      <vt:variant>
        <vt:i4>1441850</vt:i4>
      </vt:variant>
      <vt:variant>
        <vt:i4>74</vt:i4>
      </vt:variant>
      <vt:variant>
        <vt:i4>0</vt:i4>
      </vt:variant>
      <vt:variant>
        <vt:i4>5</vt:i4>
      </vt:variant>
      <vt:variant>
        <vt:lpwstr/>
      </vt:variant>
      <vt:variant>
        <vt:lpwstr>_Toc224293527</vt:lpwstr>
      </vt:variant>
      <vt:variant>
        <vt:i4>1441850</vt:i4>
      </vt:variant>
      <vt:variant>
        <vt:i4>68</vt:i4>
      </vt:variant>
      <vt:variant>
        <vt:i4>0</vt:i4>
      </vt:variant>
      <vt:variant>
        <vt:i4>5</vt:i4>
      </vt:variant>
      <vt:variant>
        <vt:lpwstr/>
      </vt:variant>
      <vt:variant>
        <vt:lpwstr>_Toc224293526</vt:lpwstr>
      </vt:variant>
      <vt:variant>
        <vt:i4>1441850</vt:i4>
      </vt:variant>
      <vt:variant>
        <vt:i4>62</vt:i4>
      </vt:variant>
      <vt:variant>
        <vt:i4>0</vt:i4>
      </vt:variant>
      <vt:variant>
        <vt:i4>5</vt:i4>
      </vt:variant>
      <vt:variant>
        <vt:lpwstr/>
      </vt:variant>
      <vt:variant>
        <vt:lpwstr>_Toc224293525</vt:lpwstr>
      </vt:variant>
      <vt:variant>
        <vt:i4>1441850</vt:i4>
      </vt:variant>
      <vt:variant>
        <vt:i4>56</vt:i4>
      </vt:variant>
      <vt:variant>
        <vt:i4>0</vt:i4>
      </vt:variant>
      <vt:variant>
        <vt:i4>5</vt:i4>
      </vt:variant>
      <vt:variant>
        <vt:lpwstr/>
      </vt:variant>
      <vt:variant>
        <vt:lpwstr>_Toc224293524</vt:lpwstr>
      </vt:variant>
      <vt:variant>
        <vt:i4>1441850</vt:i4>
      </vt:variant>
      <vt:variant>
        <vt:i4>50</vt:i4>
      </vt:variant>
      <vt:variant>
        <vt:i4>0</vt:i4>
      </vt:variant>
      <vt:variant>
        <vt:i4>5</vt:i4>
      </vt:variant>
      <vt:variant>
        <vt:lpwstr/>
      </vt:variant>
      <vt:variant>
        <vt:lpwstr>_Toc224293523</vt:lpwstr>
      </vt:variant>
      <vt:variant>
        <vt:i4>1441850</vt:i4>
      </vt:variant>
      <vt:variant>
        <vt:i4>44</vt:i4>
      </vt:variant>
      <vt:variant>
        <vt:i4>0</vt:i4>
      </vt:variant>
      <vt:variant>
        <vt:i4>5</vt:i4>
      </vt:variant>
      <vt:variant>
        <vt:lpwstr/>
      </vt:variant>
      <vt:variant>
        <vt:lpwstr>_Toc224293522</vt:lpwstr>
      </vt:variant>
      <vt:variant>
        <vt:i4>1441850</vt:i4>
      </vt:variant>
      <vt:variant>
        <vt:i4>38</vt:i4>
      </vt:variant>
      <vt:variant>
        <vt:i4>0</vt:i4>
      </vt:variant>
      <vt:variant>
        <vt:i4>5</vt:i4>
      </vt:variant>
      <vt:variant>
        <vt:lpwstr/>
      </vt:variant>
      <vt:variant>
        <vt:lpwstr>_Toc224293521</vt:lpwstr>
      </vt:variant>
      <vt:variant>
        <vt:i4>1441850</vt:i4>
      </vt:variant>
      <vt:variant>
        <vt:i4>32</vt:i4>
      </vt:variant>
      <vt:variant>
        <vt:i4>0</vt:i4>
      </vt:variant>
      <vt:variant>
        <vt:i4>5</vt:i4>
      </vt:variant>
      <vt:variant>
        <vt:lpwstr/>
      </vt:variant>
      <vt:variant>
        <vt:lpwstr>_Toc224293520</vt:lpwstr>
      </vt:variant>
      <vt:variant>
        <vt:i4>1376314</vt:i4>
      </vt:variant>
      <vt:variant>
        <vt:i4>26</vt:i4>
      </vt:variant>
      <vt:variant>
        <vt:i4>0</vt:i4>
      </vt:variant>
      <vt:variant>
        <vt:i4>5</vt:i4>
      </vt:variant>
      <vt:variant>
        <vt:lpwstr/>
      </vt:variant>
      <vt:variant>
        <vt:lpwstr>_Toc224293519</vt:lpwstr>
      </vt:variant>
      <vt:variant>
        <vt:i4>1376314</vt:i4>
      </vt:variant>
      <vt:variant>
        <vt:i4>20</vt:i4>
      </vt:variant>
      <vt:variant>
        <vt:i4>0</vt:i4>
      </vt:variant>
      <vt:variant>
        <vt:i4>5</vt:i4>
      </vt:variant>
      <vt:variant>
        <vt:lpwstr/>
      </vt:variant>
      <vt:variant>
        <vt:lpwstr>_Toc224293518</vt:lpwstr>
      </vt:variant>
      <vt:variant>
        <vt:i4>1376314</vt:i4>
      </vt:variant>
      <vt:variant>
        <vt:i4>14</vt:i4>
      </vt:variant>
      <vt:variant>
        <vt:i4>0</vt:i4>
      </vt:variant>
      <vt:variant>
        <vt:i4>5</vt:i4>
      </vt:variant>
      <vt:variant>
        <vt:lpwstr/>
      </vt:variant>
      <vt:variant>
        <vt:lpwstr>_Toc224293517</vt:lpwstr>
      </vt:variant>
      <vt:variant>
        <vt:i4>1376314</vt:i4>
      </vt:variant>
      <vt:variant>
        <vt:i4>8</vt:i4>
      </vt:variant>
      <vt:variant>
        <vt:i4>0</vt:i4>
      </vt:variant>
      <vt:variant>
        <vt:i4>5</vt:i4>
      </vt:variant>
      <vt:variant>
        <vt:lpwstr/>
      </vt:variant>
      <vt:variant>
        <vt:lpwstr>_Toc224293516</vt:lpwstr>
      </vt:variant>
      <vt:variant>
        <vt:i4>1376314</vt:i4>
      </vt:variant>
      <vt:variant>
        <vt:i4>2</vt:i4>
      </vt:variant>
      <vt:variant>
        <vt:i4>0</vt:i4>
      </vt:variant>
      <vt:variant>
        <vt:i4>5</vt:i4>
      </vt:variant>
      <vt:variant>
        <vt:lpwstr/>
      </vt:variant>
      <vt:variant>
        <vt:lpwstr>_Toc224293515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 Remen</dc:creator>
  <cp:keywords/>
  <dc:description/>
  <cp:lastModifiedBy>Piet Remen</cp:lastModifiedBy>
  <cp:revision>1138</cp:revision>
  <cp:lastPrinted>2019-10-09T13:23:00Z</cp:lastPrinted>
  <dcterms:created xsi:type="dcterms:W3CDTF">2026-03-06T19:17:00Z</dcterms:created>
  <dcterms:modified xsi:type="dcterms:W3CDTF">2026-03-20T04:46:00Z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0x01010025D8480077898647A41B2E316F53EFA4</vt:lpwstr>
  </property>
  <property fmtid="{D5CDD505-2E9C-101B-9397-08002B2CF9AE}" pid="3" name="_dlc_DocIdItemGuid">
    <vt:lpwstr>b9f8f418-903c-4858-8040-aa6eb82750da</vt:lpwstr>
  </property>
  <property fmtid="{D5CDD505-2E9C-101B-9397-08002B2CF9AE}" pid="4" name="MediaServiceImageTags">
    <vt:lpwstr/>
  </property>
  <property fmtid="{D5CDD505-2E9C-101B-9397-08002B2CF9AE}" pid="5" name="Order">
    <vt:r8>280300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3" name="docLang">
    <vt:lpwstr>en</vt:lpwstr>
  </property>
  <property fmtid="{D5CDD505-2E9C-101B-9397-08002B2CF9AE}" pid="14" name="_SourceUrl">
    <vt:lpwstr/>
  </property>
  <property fmtid="{D5CDD505-2E9C-101B-9397-08002B2CF9AE}" pid="15" name="_SharedFileIndex">
    <vt:lpwstr/>
  </property>
</Properties>
</file>