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3C1C3" w14:textId="4D826084" w:rsidR="00183075" w:rsidRDefault="00EA4334">
      <w:r>
        <w:t>General Materials &amp; Methods</w:t>
      </w:r>
    </w:p>
    <w:p w14:paraId="5BA6084C" w14:textId="77777777" w:rsidR="00EA4334" w:rsidRDefault="00EA4334"/>
    <w:p w14:paraId="0F8EA3D0" w14:textId="76EFDE18" w:rsidR="00EA4334" w:rsidRDefault="00EA4334">
      <w:r>
        <w:t xml:space="preserve">Several analysis and experimental techniques were used repeatedly throughout this work. Whilst the general protocols can be found below, the exact parameters for each individual experiment </w:t>
      </w:r>
      <w:r w:rsidR="005A10A6">
        <w:t>can be found in methodology sections</w:t>
      </w:r>
      <w:r>
        <w:t xml:space="preserve"> </w:t>
      </w:r>
      <w:r w:rsidR="005A10A6">
        <w:t>of</w:t>
      </w:r>
      <w:r>
        <w:t xml:space="preserve"> corresponding chapters. </w:t>
      </w:r>
    </w:p>
    <w:p w14:paraId="66F2C4D8" w14:textId="77777777" w:rsidR="00EA4334" w:rsidRDefault="00EA4334"/>
    <w:p w14:paraId="20D9C86D" w14:textId="1AD2E3B2" w:rsidR="00EA4334" w:rsidRDefault="00EA4334" w:rsidP="00EA4334">
      <w:pPr>
        <w:pStyle w:val="ListParagraph"/>
        <w:numPr>
          <w:ilvl w:val="0"/>
          <w:numId w:val="2"/>
        </w:numPr>
      </w:pPr>
      <w:r>
        <w:t xml:space="preserve">Sequence analysis </w:t>
      </w:r>
    </w:p>
    <w:p w14:paraId="695CD2DA" w14:textId="77777777" w:rsidR="00EA4334" w:rsidRDefault="00EA4334" w:rsidP="00EA4334"/>
    <w:p w14:paraId="7DAA7C67" w14:textId="3D794AE1" w:rsidR="00EA4334" w:rsidRDefault="00EA4334" w:rsidP="00EA4334">
      <w:pPr>
        <w:pStyle w:val="ListParagraph"/>
        <w:numPr>
          <w:ilvl w:val="1"/>
          <w:numId w:val="5"/>
        </w:numPr>
      </w:pPr>
      <w:r>
        <w:t>Multiple sequence alignment assembly</w:t>
      </w:r>
    </w:p>
    <w:p w14:paraId="071C2558" w14:textId="77777777" w:rsidR="00EA4334" w:rsidRDefault="00EA4334" w:rsidP="00EA4334"/>
    <w:p w14:paraId="5FCFD1AD" w14:textId="77777777" w:rsidR="00EA4334" w:rsidRPr="00EA4334" w:rsidRDefault="00EA4334" w:rsidP="00EA4334">
      <w:pPr>
        <w:rPr>
          <w:rFonts w:eastAsia="Times New Roman" w:cstheme="minorHAnsi"/>
          <w:color w:val="000000" w:themeColor="text1"/>
        </w:rPr>
      </w:pPr>
      <w:r w:rsidRPr="00EA4334">
        <w:rPr>
          <w:rFonts w:eastAsia="Times New Roman" w:cstheme="minorHAnsi"/>
          <w:color w:val="000000" w:themeColor="text1"/>
        </w:rPr>
        <w:t>Amino acid sequences of HCMV gB were downloaded on 14.02.2024 from GenBank NIH protein sequence database (</w:t>
      </w:r>
      <w:hyperlink r:id="rId5" w:history="1">
        <w:r w:rsidRPr="00EA4334">
          <w:rPr>
            <w:rStyle w:val="Hyperlink"/>
            <w:rFonts w:eastAsia="Times New Roman" w:cstheme="minorHAnsi"/>
          </w:rPr>
          <w:t>www.ncbi.nlm.nih.gov</w:t>
        </w:r>
      </w:hyperlink>
      <w:r w:rsidRPr="00EA4334">
        <w:rPr>
          <w:rFonts w:eastAsia="Times New Roman" w:cstheme="minorHAnsi"/>
          <w:color w:val="000000" w:themeColor="text1"/>
        </w:rPr>
        <w:t xml:space="preserve">). The search query </w:t>
      </w:r>
      <w:r w:rsidRPr="00EA4334">
        <w:rPr>
          <w:rFonts w:ascii="Courier" w:eastAsia="Times New Roman" w:hAnsi="Courier" w:cstheme="minorHAnsi"/>
          <w:color w:val="000000" w:themeColor="text1"/>
        </w:rPr>
        <w:t xml:space="preserve">“((glycoprotein B[Protein Name] OR (glycoprotein[All Fields] AND B[All Fields])) AND ("Human </w:t>
      </w:r>
      <w:proofErr w:type="spellStart"/>
      <w:r w:rsidRPr="00EA4334">
        <w:rPr>
          <w:rFonts w:ascii="Courier" w:eastAsia="Times New Roman" w:hAnsi="Courier" w:cstheme="minorHAnsi"/>
          <w:color w:val="000000" w:themeColor="text1"/>
        </w:rPr>
        <w:t>betaherpesvirus</w:t>
      </w:r>
      <w:proofErr w:type="spellEnd"/>
      <w:r w:rsidRPr="00EA4334">
        <w:rPr>
          <w:rFonts w:ascii="Courier" w:eastAsia="Times New Roman" w:hAnsi="Courier" w:cstheme="minorHAnsi"/>
          <w:color w:val="000000" w:themeColor="text1"/>
        </w:rPr>
        <w:t xml:space="preserve"> 5"[Organism] OR human herpesvirus 5[All Fields]))</w:t>
      </w:r>
      <w:r w:rsidRPr="00EA4334">
        <w:rPr>
          <w:rFonts w:eastAsia="Times New Roman" w:cstheme="minorHAnsi"/>
          <w:color w:val="000000" w:themeColor="text1"/>
        </w:rPr>
        <w:t>” was used, and all search results were filtered by sequence size to be between 850 and 950 amino acids in length. Sequences of non-gB proteins, sequences with &gt;1% of unknown amino acids, as well as sequences obtained from synthetic viruses were manually removed.</w:t>
      </w:r>
    </w:p>
    <w:p w14:paraId="42ABB629" w14:textId="77777777" w:rsidR="00EA4334" w:rsidRPr="00EA4334" w:rsidRDefault="00EA4334" w:rsidP="00EA4334">
      <w:pPr>
        <w:rPr>
          <w:rFonts w:eastAsia="Times New Roman" w:cstheme="minorHAnsi"/>
          <w:color w:val="000000" w:themeColor="text1"/>
        </w:rPr>
      </w:pPr>
    </w:p>
    <w:p w14:paraId="01798BBB" w14:textId="3392DBF8" w:rsidR="00EA4334" w:rsidRDefault="00EA4334" w:rsidP="00EA4334">
      <w:pPr>
        <w:rPr>
          <w:rFonts w:cstheme="minorHAnsi"/>
        </w:rPr>
      </w:pPr>
      <w:proofErr w:type="spellStart"/>
      <w:r w:rsidRPr="00EA4334">
        <w:rPr>
          <w:rFonts w:eastAsia="Times New Roman" w:cstheme="minorHAnsi"/>
          <w:color w:val="000000" w:themeColor="text1"/>
        </w:rPr>
        <w:t>Aliview</w:t>
      </w:r>
      <w:proofErr w:type="spellEnd"/>
      <w:r w:rsidRPr="00EA4334">
        <w:rPr>
          <w:rFonts w:eastAsia="Times New Roman" w:cstheme="minorHAnsi"/>
          <w:color w:val="000000" w:themeColor="text1"/>
        </w:rPr>
        <w:t xml:space="preserve"> sequence viewer and editor was used for sequence visualisation and processing and MAFFT online server was used for sequence alignment </w:t>
      </w:r>
      <w:r w:rsidRPr="00EA4334">
        <w:rPr>
          <w:rFonts w:cstheme="minorHAnsi"/>
          <w:highlight w:val="yellow"/>
        </w:rPr>
        <w:t>(ref, ref).</w:t>
      </w:r>
      <w:r w:rsidRPr="00EA4334">
        <w:rPr>
          <w:rFonts w:cstheme="minorHAnsi"/>
        </w:rPr>
        <w:t xml:space="preserve"> </w:t>
      </w:r>
    </w:p>
    <w:p w14:paraId="674B2E0B" w14:textId="77777777" w:rsidR="005E1C3B" w:rsidRDefault="005E1C3B" w:rsidP="00EA4334">
      <w:pPr>
        <w:rPr>
          <w:rFonts w:cstheme="minorHAnsi"/>
        </w:rPr>
      </w:pPr>
    </w:p>
    <w:p w14:paraId="05C647B5" w14:textId="486F9D7B" w:rsidR="005E1C3B" w:rsidRDefault="005E1C3B" w:rsidP="00EA4334">
      <w:pPr>
        <w:rPr>
          <w:rFonts w:cstheme="minorHAnsi"/>
        </w:rPr>
      </w:pPr>
      <w:r>
        <w:rPr>
          <w:rFonts w:cstheme="minorHAnsi"/>
        </w:rPr>
        <w:t xml:space="preserve">(PCA for amino acids if I manage to </w:t>
      </w:r>
      <w:proofErr w:type="gramStart"/>
      <w:r>
        <w:rPr>
          <w:rFonts w:cstheme="minorHAnsi"/>
        </w:rPr>
        <w:t>actually write</w:t>
      </w:r>
      <w:proofErr w:type="gramEnd"/>
      <w:r>
        <w:rPr>
          <w:rFonts w:cstheme="minorHAnsi"/>
        </w:rPr>
        <w:t xml:space="preserve"> it successfully)</w:t>
      </w:r>
    </w:p>
    <w:p w14:paraId="1421E131" w14:textId="77777777" w:rsidR="00EA4334" w:rsidRDefault="00EA4334" w:rsidP="00EA4334">
      <w:pPr>
        <w:rPr>
          <w:rFonts w:cstheme="minorHAnsi"/>
        </w:rPr>
      </w:pPr>
    </w:p>
    <w:p w14:paraId="1D5EC176" w14:textId="7C4D8217" w:rsidR="00EA4334" w:rsidRDefault="00EA4334" w:rsidP="00EA4334">
      <w:pPr>
        <w:pStyle w:val="ListParagraph"/>
        <w:numPr>
          <w:ilvl w:val="1"/>
          <w:numId w:val="5"/>
        </w:numPr>
        <w:rPr>
          <w:rFonts w:cstheme="minorHAnsi"/>
        </w:rPr>
      </w:pPr>
      <w:r w:rsidRPr="00EA4334">
        <w:rPr>
          <w:rFonts w:cstheme="minorHAnsi"/>
        </w:rPr>
        <w:t>Phylogenetic analysis</w:t>
      </w:r>
    </w:p>
    <w:p w14:paraId="323C703C" w14:textId="77777777" w:rsidR="005E1C3B" w:rsidRPr="005E1C3B" w:rsidRDefault="005E1C3B" w:rsidP="005E1C3B">
      <w:pPr>
        <w:ind w:left="720"/>
        <w:rPr>
          <w:rFonts w:cstheme="minorHAnsi"/>
        </w:rPr>
      </w:pPr>
    </w:p>
    <w:p w14:paraId="27CB91E6" w14:textId="539F2472" w:rsidR="00EA4334" w:rsidRDefault="005E1C3B" w:rsidP="00EA4334">
      <w:pPr>
        <w:rPr>
          <w:rFonts w:cstheme="minorHAnsi"/>
        </w:rPr>
      </w:pPr>
      <w:r>
        <w:rPr>
          <w:rFonts w:cstheme="minorHAnsi"/>
        </w:rPr>
        <w:t xml:space="preserve">Maximum likelihood phylogenetic trees with ultrafast bootstrap approximation were generated with the use of one of three </w:t>
      </w:r>
      <w:proofErr w:type="spellStart"/>
      <w:r>
        <w:rPr>
          <w:rFonts w:cstheme="minorHAnsi"/>
        </w:rPr>
        <w:t>IQTree</w:t>
      </w:r>
      <w:proofErr w:type="spellEnd"/>
      <w:r>
        <w:rPr>
          <w:rFonts w:cstheme="minorHAnsi"/>
        </w:rPr>
        <w:t xml:space="preserve"> online servers </w:t>
      </w:r>
      <w:r>
        <w:t xml:space="preserve">(description of 3, </w:t>
      </w:r>
      <w:r w:rsidRPr="005E1C3B">
        <w:rPr>
          <w:rFonts w:cstheme="minorHAnsi"/>
          <w:highlight w:val="yellow"/>
        </w:rPr>
        <w:t>link)</w:t>
      </w:r>
      <w:r>
        <w:t xml:space="preserve">. Further tree processing, including rooting by midpoint, as well as visualisation was performed in </w:t>
      </w:r>
      <w:proofErr w:type="spellStart"/>
      <w:r>
        <w:t>FigTree</w:t>
      </w:r>
      <w:proofErr w:type="spellEnd"/>
      <w:r>
        <w:t xml:space="preserve"> software (</w:t>
      </w:r>
      <w:r w:rsidRPr="005E1C3B">
        <w:rPr>
          <w:rFonts w:cstheme="minorHAnsi"/>
          <w:highlight w:val="yellow"/>
        </w:rPr>
        <w:t>ref)</w:t>
      </w:r>
      <w:r>
        <w:t>.</w:t>
      </w:r>
    </w:p>
    <w:p w14:paraId="4283F2C5" w14:textId="77777777" w:rsidR="005E1C3B" w:rsidRPr="00EA4334" w:rsidRDefault="005E1C3B" w:rsidP="00EA4334">
      <w:pPr>
        <w:rPr>
          <w:rFonts w:cstheme="minorHAnsi"/>
        </w:rPr>
      </w:pPr>
    </w:p>
    <w:p w14:paraId="4BBD5DC8" w14:textId="6CEC878C" w:rsidR="00EA4334" w:rsidRDefault="00EA4334" w:rsidP="00EA4334">
      <w:pPr>
        <w:pStyle w:val="ListParagraph"/>
        <w:numPr>
          <w:ilvl w:val="1"/>
          <w:numId w:val="5"/>
        </w:numPr>
        <w:rPr>
          <w:rFonts w:cstheme="minorHAnsi"/>
        </w:rPr>
      </w:pPr>
      <w:r>
        <w:rPr>
          <w:rFonts w:cstheme="minorHAnsi"/>
        </w:rPr>
        <w:t>Protein structure</w:t>
      </w:r>
      <w:r w:rsidR="005E1C3B">
        <w:rPr>
          <w:rFonts w:cstheme="minorHAnsi"/>
        </w:rPr>
        <w:t xml:space="preserve"> generation</w:t>
      </w:r>
    </w:p>
    <w:p w14:paraId="72E6D92E" w14:textId="77777777" w:rsidR="005E1C3B" w:rsidRPr="005E1C3B" w:rsidRDefault="005E1C3B" w:rsidP="005E1C3B">
      <w:pPr>
        <w:rPr>
          <w:rFonts w:cstheme="minorHAnsi"/>
        </w:rPr>
      </w:pPr>
    </w:p>
    <w:p w14:paraId="3DDB93A2" w14:textId="11C49A06" w:rsidR="005E1C3B" w:rsidRDefault="005E1C3B" w:rsidP="005E1C3B">
      <w:r>
        <w:t>Where available, protein structure files were downloaded from the publicly available PDB database (</w:t>
      </w:r>
      <w:r w:rsidRPr="005E1C3B">
        <w:rPr>
          <w:rFonts w:cstheme="minorHAnsi"/>
          <w:highlight w:val="yellow"/>
        </w:rPr>
        <w:t>link)</w:t>
      </w:r>
      <w:r>
        <w:t xml:space="preserve">. Otherwise, </w:t>
      </w:r>
      <w:proofErr w:type="spellStart"/>
      <w:r>
        <w:t>ColabFold</w:t>
      </w:r>
      <w:proofErr w:type="spellEnd"/>
      <w:r>
        <w:t xml:space="preserve"> platform was used for generating predicted protein structures (</w:t>
      </w:r>
      <w:r w:rsidRPr="005E1C3B">
        <w:rPr>
          <w:rFonts w:cstheme="minorHAnsi"/>
          <w:highlight w:val="yellow"/>
        </w:rPr>
        <w:t>ref)</w:t>
      </w:r>
      <w:r>
        <w:t xml:space="preserve">. To assess the plausibility of ligand binding or oligomer assembly the multimer prediction feature was used while setting up </w:t>
      </w:r>
      <w:proofErr w:type="spellStart"/>
      <w:r>
        <w:t>ColabFold</w:t>
      </w:r>
      <w:proofErr w:type="spellEnd"/>
      <w:r>
        <w:t xml:space="preserve">, given more than one input sequence. </w:t>
      </w:r>
    </w:p>
    <w:p w14:paraId="5BEA18BD" w14:textId="77777777" w:rsidR="00EA4334" w:rsidRPr="00EA4334" w:rsidRDefault="00EA4334" w:rsidP="00EA4334">
      <w:pPr>
        <w:rPr>
          <w:rFonts w:cstheme="minorHAnsi"/>
        </w:rPr>
      </w:pPr>
    </w:p>
    <w:p w14:paraId="068A222B" w14:textId="77F781D4" w:rsidR="00EA4334" w:rsidRPr="00EA4334" w:rsidRDefault="00EA4334" w:rsidP="00EA4334">
      <w:pPr>
        <w:pStyle w:val="ListParagraph"/>
        <w:numPr>
          <w:ilvl w:val="1"/>
          <w:numId w:val="5"/>
        </w:numPr>
        <w:rPr>
          <w:rFonts w:cstheme="minorHAnsi"/>
        </w:rPr>
      </w:pPr>
      <w:r>
        <w:rPr>
          <w:rFonts w:cstheme="minorHAnsi"/>
        </w:rPr>
        <w:t>Protein structure visualisation</w:t>
      </w:r>
    </w:p>
    <w:p w14:paraId="4B70E0EF" w14:textId="77777777" w:rsidR="005E1C3B" w:rsidRDefault="005E1C3B" w:rsidP="005E1C3B"/>
    <w:p w14:paraId="365B48AB" w14:textId="38422E03" w:rsidR="005E1C3B" w:rsidRDefault="005E1C3B" w:rsidP="005E1C3B">
      <w:r>
        <w:t xml:space="preserve">UCSF </w:t>
      </w:r>
      <w:proofErr w:type="spellStart"/>
      <w:r>
        <w:t>ChimeraX</w:t>
      </w:r>
      <w:proofErr w:type="spellEnd"/>
      <w:r>
        <w:t xml:space="preserve"> was then utilised for visualising predicted or database-derived protein structures, and screenshots from the program were generously implemented in the figure generation process (</w:t>
      </w:r>
      <w:r w:rsidRPr="00EA4334">
        <w:rPr>
          <w:rFonts w:cstheme="minorHAnsi"/>
          <w:highlight w:val="yellow"/>
        </w:rPr>
        <w:t>ref)</w:t>
      </w:r>
      <w:r>
        <w:t xml:space="preserve">. “Matchmaker” option was used for overlaying two or more structures against a relevant reference. “H-bonds” structure analysis feature was used to predict plausible hydrogen bonds between amino acid residues. Additionally, </w:t>
      </w:r>
      <w:proofErr w:type="spellStart"/>
      <w:r>
        <w:t>ChimeraX</w:t>
      </w:r>
      <w:proofErr w:type="spellEnd"/>
      <w:r>
        <w:t xml:space="preserve"> </w:t>
      </w:r>
      <w:r>
        <w:lastRenderedPageBreak/>
        <w:t>“Molecule display” features were implemented to display the hydrophobicity and electrostatic profiles of the structure of interest.</w:t>
      </w:r>
    </w:p>
    <w:p w14:paraId="519DEB56" w14:textId="77777777" w:rsidR="00EA4334" w:rsidRDefault="00EA4334" w:rsidP="00EA4334"/>
    <w:p w14:paraId="43D1E05B" w14:textId="55415429" w:rsidR="00EA4334" w:rsidRDefault="00EA4334" w:rsidP="00EA4334">
      <w:pPr>
        <w:pStyle w:val="ListParagraph"/>
        <w:numPr>
          <w:ilvl w:val="0"/>
          <w:numId w:val="2"/>
        </w:numPr>
      </w:pPr>
      <w:r>
        <w:t xml:space="preserve">In vitro work </w:t>
      </w:r>
    </w:p>
    <w:p w14:paraId="39E4091F" w14:textId="77777777" w:rsidR="00EA4334" w:rsidRDefault="00EA4334" w:rsidP="00EA4334"/>
    <w:p w14:paraId="2C8AEBEE" w14:textId="2989BEA9" w:rsidR="00EA4334" w:rsidRDefault="00EA4334" w:rsidP="00EA4334">
      <w:pPr>
        <w:pStyle w:val="ListParagraph"/>
        <w:numPr>
          <w:ilvl w:val="1"/>
          <w:numId w:val="3"/>
        </w:numPr>
      </w:pPr>
      <w:r>
        <w:t>Cell line maintenance and plating</w:t>
      </w:r>
    </w:p>
    <w:p w14:paraId="68BAC7BB" w14:textId="77777777" w:rsidR="00EA4334" w:rsidRDefault="00EA4334" w:rsidP="00EA4334"/>
    <w:p w14:paraId="29F9DF0A" w14:textId="23FC4A83" w:rsidR="00EA4334" w:rsidRDefault="00EA4334" w:rsidP="00EA4334">
      <w:r>
        <w:t xml:space="preserve">Unless specified otherwise, all media for cell maintenance were supplied with 10% foetal bovine serum </w:t>
      </w:r>
      <w:r w:rsidRPr="001316BA">
        <w:rPr>
          <w:rFonts w:cstheme="minorHAnsi"/>
          <w:highlight w:val="yellow"/>
        </w:rPr>
        <w:t>(FBS, manufacturer)</w:t>
      </w:r>
      <w:r w:rsidRPr="001316BA">
        <w:rPr>
          <w:rFonts w:cstheme="minorHAnsi"/>
        </w:rPr>
        <w:t xml:space="preserve"> and 1% Penicillin-Streptomycin </w:t>
      </w:r>
      <w:r w:rsidRPr="001316BA">
        <w:rPr>
          <w:rFonts w:cstheme="minorHAnsi"/>
          <w:highlight w:val="yellow"/>
        </w:rPr>
        <w:t>(manufacturer)</w:t>
      </w:r>
      <w:r w:rsidRPr="001316BA">
        <w:rPr>
          <w:rFonts w:cstheme="minorHAnsi"/>
        </w:rPr>
        <w:t>.</w:t>
      </w:r>
    </w:p>
    <w:p w14:paraId="4027DFBD" w14:textId="77777777" w:rsidR="00EA4334" w:rsidRDefault="00EA4334" w:rsidP="00EA4334"/>
    <w:p w14:paraId="61EF94BA" w14:textId="0C516994" w:rsidR="00EA4334" w:rsidRDefault="00EA4334" w:rsidP="00EA4334">
      <w:pPr>
        <w:rPr>
          <w:rFonts w:cstheme="minorHAnsi"/>
        </w:rPr>
      </w:pPr>
      <w:r>
        <w:rPr>
          <w:rFonts w:cstheme="minorHAnsi"/>
        </w:rPr>
        <w:t>Primary h</w:t>
      </w:r>
      <w:r w:rsidRPr="001316BA">
        <w:rPr>
          <w:rFonts w:cstheme="minorHAnsi"/>
        </w:rPr>
        <w:t xml:space="preserve">uman foreskin fibroblasts (HFF, </w:t>
      </w:r>
      <w:r w:rsidRPr="001316BA">
        <w:rPr>
          <w:rFonts w:cstheme="minorHAnsi"/>
          <w:highlight w:val="yellow"/>
        </w:rPr>
        <w:t>manufacturer)</w:t>
      </w:r>
      <w:r>
        <w:rPr>
          <w:rFonts w:cstheme="minorHAnsi"/>
        </w:rPr>
        <w:t xml:space="preserve">, HFF-TET cell line (gift from colleagues in Prof Rich Stanton group at Cardiff University), owl monkey kidney cells (OMK, gift from colleagues in Dr Robert White’s group at Imperial College London) </w:t>
      </w:r>
      <w:r w:rsidRPr="001316BA">
        <w:rPr>
          <w:rFonts w:cstheme="minorHAnsi"/>
        </w:rPr>
        <w:t>were grown and passaged in Dulbecco's modified eagle's medium</w:t>
      </w:r>
      <w:r>
        <w:rPr>
          <w:rFonts w:cstheme="minorHAnsi"/>
        </w:rPr>
        <w:t xml:space="preserve"> (DMEM,</w:t>
      </w:r>
      <w:r w:rsidRPr="00EA4334">
        <w:rPr>
          <w:rFonts w:cstheme="minorHAnsi"/>
          <w:highlight w:val="yellow"/>
        </w:rPr>
        <w:t xml:space="preserve"> </w:t>
      </w:r>
      <w:r w:rsidRPr="001316BA">
        <w:rPr>
          <w:rFonts w:cstheme="minorHAnsi"/>
          <w:highlight w:val="yellow"/>
        </w:rPr>
        <w:t>manufacturer)</w:t>
      </w:r>
      <w:r w:rsidRPr="001316BA">
        <w:rPr>
          <w:rFonts w:cstheme="minorHAnsi"/>
        </w:rPr>
        <w:t>.</w:t>
      </w:r>
      <w:r>
        <w:rPr>
          <w:rFonts w:cstheme="minorHAnsi"/>
        </w:rPr>
        <w:t xml:space="preserve"> </w:t>
      </w:r>
    </w:p>
    <w:p w14:paraId="58895B24" w14:textId="77777777" w:rsidR="00EA4334" w:rsidRDefault="00EA4334" w:rsidP="00EA4334">
      <w:pPr>
        <w:rPr>
          <w:rFonts w:cstheme="minorHAnsi"/>
        </w:rPr>
      </w:pPr>
    </w:p>
    <w:p w14:paraId="14EACBED" w14:textId="499C0E13" w:rsidR="00EA4334" w:rsidRDefault="00EA4334" w:rsidP="00EA4334">
      <w:pPr>
        <w:rPr>
          <w:rFonts w:cstheme="minorHAnsi"/>
        </w:rPr>
      </w:pPr>
      <w:r>
        <w:rPr>
          <w:rFonts w:cstheme="minorHAnsi"/>
        </w:rPr>
        <w:t>Epithelial cell line (</w:t>
      </w:r>
      <w:r w:rsidRPr="00EA4334">
        <w:rPr>
          <w:rFonts w:cstheme="minorHAnsi"/>
        </w:rPr>
        <w:t>spontaneously arising retinal pigment epithelia</w:t>
      </w:r>
      <w:r>
        <w:rPr>
          <w:rFonts w:cstheme="minorHAnsi"/>
        </w:rPr>
        <w:t>, A</w:t>
      </w:r>
      <w:r w:rsidRPr="00EA4334">
        <w:rPr>
          <w:rFonts w:cstheme="minorHAnsi"/>
        </w:rPr>
        <w:t>RPE</w:t>
      </w:r>
      <w:r>
        <w:rPr>
          <w:rFonts w:cstheme="minorHAnsi"/>
        </w:rPr>
        <w:t xml:space="preserve">-19, </w:t>
      </w:r>
      <w:r w:rsidRPr="001316BA">
        <w:rPr>
          <w:rFonts w:cstheme="minorHAnsi"/>
          <w:highlight w:val="yellow"/>
        </w:rPr>
        <w:t>manufacturer</w:t>
      </w:r>
      <w:r w:rsidRPr="00EA4334">
        <w:rPr>
          <w:rFonts w:cstheme="minorHAnsi"/>
        </w:rPr>
        <w:t>)</w:t>
      </w:r>
      <w:r>
        <w:rPr>
          <w:rFonts w:cstheme="minorHAnsi"/>
        </w:rPr>
        <w:t xml:space="preserve"> </w:t>
      </w:r>
      <w:r w:rsidRPr="001316BA">
        <w:rPr>
          <w:rFonts w:cstheme="minorHAnsi"/>
        </w:rPr>
        <w:t>were grown and passaged in Dulbecco's modified eagle's medium</w:t>
      </w:r>
      <w:r>
        <w:rPr>
          <w:rFonts w:cstheme="minorHAnsi"/>
        </w:rPr>
        <w:t xml:space="preserve"> (DMEM,</w:t>
      </w:r>
      <w:r w:rsidRPr="00EA4334">
        <w:rPr>
          <w:rFonts w:cstheme="minorHAnsi"/>
          <w:highlight w:val="yellow"/>
        </w:rPr>
        <w:t xml:space="preserve"> </w:t>
      </w:r>
      <w:r w:rsidRPr="001316BA">
        <w:rPr>
          <w:rFonts w:cstheme="minorHAnsi"/>
          <w:highlight w:val="yellow"/>
        </w:rPr>
        <w:t>manufacturer)</w:t>
      </w:r>
      <w:r>
        <w:rPr>
          <w:rFonts w:cstheme="minorHAnsi"/>
        </w:rPr>
        <w:t xml:space="preserve">. Cells were grown in T175 flasks, </w:t>
      </w:r>
      <w:proofErr w:type="gramStart"/>
      <w:r>
        <w:rPr>
          <w:rFonts w:cstheme="minorHAnsi"/>
        </w:rPr>
        <w:t>monitored</w:t>
      </w:r>
      <w:proofErr w:type="gramEnd"/>
      <w:r>
        <w:rPr>
          <w:rFonts w:cstheme="minorHAnsi"/>
        </w:rPr>
        <w:t xml:space="preserve"> and passaged at 90-95% confluence. </w:t>
      </w:r>
    </w:p>
    <w:p w14:paraId="4CF3474B" w14:textId="77777777" w:rsidR="00EA4334" w:rsidRDefault="00EA4334" w:rsidP="00EA4334">
      <w:pPr>
        <w:rPr>
          <w:rFonts w:cstheme="minorHAnsi"/>
        </w:rPr>
      </w:pPr>
    </w:p>
    <w:p w14:paraId="494F921C" w14:textId="53041075" w:rsidR="00EA4334" w:rsidRDefault="00EA4334" w:rsidP="00EA4334">
      <w:pPr>
        <w:rPr>
          <w:rFonts w:cstheme="minorHAnsi"/>
        </w:rPr>
      </w:pPr>
      <w:r>
        <w:rPr>
          <w:rFonts w:cstheme="minorHAnsi"/>
        </w:rPr>
        <w:t xml:space="preserve">Passaging adherent cells would be performed by first </w:t>
      </w:r>
      <w:proofErr w:type="spellStart"/>
      <w:r>
        <w:rPr>
          <w:rFonts w:cstheme="minorHAnsi"/>
        </w:rPr>
        <w:t>trypsinising</w:t>
      </w:r>
      <w:proofErr w:type="spellEnd"/>
      <w:r>
        <w:rPr>
          <w:rFonts w:cstheme="minorHAnsi"/>
        </w:rPr>
        <w:t xml:space="preserve"> for 5 minutes at 37°C, removing trypsin by centrifuging at 500g for 5 minutes, and resuspending the cell pellet with excess media, followed by an appropriate split of the cell suspension and transfer into a new flask. Primary HFF were discarded around passage 25 or once it would take longer than 7 days for a T175 flask to become confluent after a 1:3 split.</w:t>
      </w:r>
    </w:p>
    <w:p w14:paraId="06489BC4" w14:textId="77777777" w:rsidR="00EA4334" w:rsidRDefault="00EA4334" w:rsidP="00EA4334">
      <w:pPr>
        <w:rPr>
          <w:rFonts w:cstheme="minorHAnsi"/>
        </w:rPr>
      </w:pPr>
    </w:p>
    <w:p w14:paraId="01CF2328" w14:textId="5D65A4A1" w:rsidR="00EA4334" w:rsidRPr="00EA4334" w:rsidRDefault="00EA4334" w:rsidP="00EA4334">
      <w:pPr>
        <w:rPr>
          <w:rFonts w:cstheme="minorHAnsi"/>
        </w:rPr>
      </w:pPr>
      <w:r w:rsidRPr="00EA4334">
        <w:rPr>
          <w:rFonts w:cstheme="minorHAnsi"/>
        </w:rPr>
        <w:t xml:space="preserve">B cell hybridoma cells </w:t>
      </w:r>
      <w:r>
        <w:rPr>
          <w:rFonts w:cstheme="minorHAnsi"/>
        </w:rPr>
        <w:t xml:space="preserve">(gift from colleagues in Dr Marco Thomas’ group at Erlangen University, Germany) were maintained in suspension in </w:t>
      </w:r>
      <w:r w:rsidR="005E1C3B">
        <w:rPr>
          <w:rFonts w:cstheme="minorHAnsi"/>
        </w:rPr>
        <w:t>RPMI (RPMI,</w:t>
      </w:r>
      <w:r w:rsidR="005E1C3B" w:rsidRPr="00EA4334">
        <w:rPr>
          <w:rFonts w:cstheme="minorHAnsi"/>
          <w:highlight w:val="yellow"/>
        </w:rPr>
        <w:t xml:space="preserve"> </w:t>
      </w:r>
      <w:r w:rsidR="005E1C3B" w:rsidRPr="001316BA">
        <w:rPr>
          <w:rFonts w:cstheme="minorHAnsi"/>
          <w:highlight w:val="yellow"/>
        </w:rPr>
        <w:t>manufacturer)</w:t>
      </w:r>
      <w:r w:rsidR="005E1C3B" w:rsidRPr="001316BA">
        <w:rPr>
          <w:rFonts w:cstheme="minorHAnsi"/>
        </w:rPr>
        <w:t>.</w:t>
      </w:r>
      <w:r w:rsidR="005E1C3B">
        <w:rPr>
          <w:rFonts w:cstheme="minorHAnsi"/>
        </w:rPr>
        <w:t xml:space="preserve"> </w:t>
      </w:r>
      <w:r>
        <w:rPr>
          <w:rFonts w:cstheme="minorHAnsi"/>
        </w:rPr>
        <w:t xml:space="preserve">and split 1:8 every 3 days. </w:t>
      </w:r>
    </w:p>
    <w:p w14:paraId="6596322B" w14:textId="77777777" w:rsidR="005E1C3B" w:rsidRDefault="005E1C3B" w:rsidP="00EA4334">
      <w:pPr>
        <w:rPr>
          <w:rFonts w:cstheme="minorHAnsi"/>
        </w:rPr>
      </w:pPr>
    </w:p>
    <w:p w14:paraId="4360EE34" w14:textId="579A2187" w:rsidR="005E1C3B" w:rsidRDefault="005E1C3B" w:rsidP="00EA4334">
      <w:pPr>
        <w:rPr>
          <w:rFonts w:cstheme="minorHAnsi"/>
        </w:rPr>
      </w:pPr>
      <w:r>
        <w:rPr>
          <w:rFonts w:cstheme="minorHAnsi"/>
        </w:rPr>
        <w:t>(THP-1 cells if I end up using NL data)</w:t>
      </w:r>
    </w:p>
    <w:p w14:paraId="061AB7F0" w14:textId="77777777" w:rsidR="005E1C3B" w:rsidRDefault="005E1C3B" w:rsidP="00EA4334">
      <w:pPr>
        <w:rPr>
          <w:rFonts w:cstheme="minorHAnsi"/>
        </w:rPr>
      </w:pPr>
    </w:p>
    <w:p w14:paraId="63DCB789" w14:textId="08DB714C" w:rsidR="00EA4334" w:rsidRDefault="00EA4334" w:rsidP="00EA4334">
      <w:pPr>
        <w:rPr>
          <w:rFonts w:cstheme="minorHAnsi"/>
        </w:rPr>
      </w:pPr>
      <w:r>
        <w:rPr>
          <w:rFonts w:cstheme="minorHAnsi"/>
        </w:rPr>
        <w:t xml:space="preserve">Passaging cells in suspension would include swapping some amount of the cell suspension for complete media to achieve the desired split ratio. </w:t>
      </w:r>
    </w:p>
    <w:p w14:paraId="00675176" w14:textId="77777777" w:rsidR="00EA4334" w:rsidRDefault="00EA4334" w:rsidP="00EA4334">
      <w:pPr>
        <w:rPr>
          <w:rFonts w:cstheme="minorHAnsi"/>
        </w:rPr>
      </w:pPr>
    </w:p>
    <w:p w14:paraId="16AD9982" w14:textId="5B004881" w:rsidR="00EA4334" w:rsidRDefault="00EA4334" w:rsidP="00EA4334">
      <w:pPr>
        <w:rPr>
          <w:rFonts w:cstheme="minorHAnsi"/>
        </w:rPr>
      </w:pPr>
      <w:r>
        <w:rPr>
          <w:rFonts w:cstheme="minorHAnsi"/>
        </w:rPr>
        <w:t xml:space="preserve">All cells were kept in </w:t>
      </w:r>
      <w:r w:rsidRPr="001316BA">
        <w:rPr>
          <w:rFonts w:cstheme="minorHAnsi"/>
        </w:rPr>
        <w:t xml:space="preserve">a 37°C </w:t>
      </w:r>
      <w:r w:rsidRPr="001316BA">
        <w:rPr>
          <w:rFonts w:cstheme="minorHAnsi"/>
          <w:highlight w:val="yellow"/>
        </w:rPr>
        <w:t>(Oxygen and CO2</w:t>
      </w:r>
      <w:r>
        <w:rPr>
          <w:rFonts w:cstheme="minorHAnsi"/>
          <w:highlight w:val="yellow"/>
        </w:rPr>
        <w:t xml:space="preserve"> %</w:t>
      </w:r>
      <w:r w:rsidRPr="001316BA">
        <w:rPr>
          <w:rFonts w:cstheme="minorHAnsi"/>
          <w:highlight w:val="yellow"/>
        </w:rPr>
        <w:t>)</w:t>
      </w:r>
      <w:r w:rsidRPr="001316BA">
        <w:rPr>
          <w:rFonts w:cstheme="minorHAnsi"/>
        </w:rPr>
        <w:t xml:space="preserve"> </w:t>
      </w:r>
      <w:r>
        <w:rPr>
          <w:rFonts w:cstheme="minorHAnsi"/>
        </w:rPr>
        <w:t>incubator. Cells would be plated out a</w:t>
      </w:r>
      <w:r w:rsidRPr="001316BA">
        <w:rPr>
          <w:rFonts w:cstheme="minorHAnsi"/>
        </w:rPr>
        <w:t xml:space="preserve"> day before the assay</w:t>
      </w:r>
      <w:r>
        <w:rPr>
          <w:rFonts w:cstheme="minorHAnsi"/>
        </w:rPr>
        <w:t>. After being</w:t>
      </w:r>
      <w:r w:rsidRPr="001316BA">
        <w:rPr>
          <w:rFonts w:cstheme="minorHAnsi"/>
        </w:rPr>
        <w:t xml:space="preserve"> trypsinised </w:t>
      </w:r>
      <w:r w:rsidRPr="001316BA">
        <w:rPr>
          <w:rFonts w:cstheme="minorHAnsi"/>
          <w:highlight w:val="yellow"/>
        </w:rPr>
        <w:t>(manufacturer)</w:t>
      </w:r>
      <w:r w:rsidRPr="001316BA">
        <w:rPr>
          <w:rFonts w:cstheme="minorHAnsi"/>
        </w:rPr>
        <w:t xml:space="preserve"> from a confluent T175 flask </w:t>
      </w:r>
      <w:r w:rsidRPr="001316BA">
        <w:rPr>
          <w:rFonts w:cstheme="minorHAnsi"/>
          <w:highlight w:val="yellow"/>
        </w:rPr>
        <w:t>(manufacturer)</w:t>
      </w:r>
      <w:r w:rsidRPr="001316BA">
        <w:rPr>
          <w:rFonts w:cstheme="minorHAnsi"/>
        </w:rPr>
        <w:t xml:space="preserve"> </w:t>
      </w:r>
      <w:r>
        <w:rPr>
          <w:rFonts w:cstheme="minorHAnsi"/>
        </w:rPr>
        <w:t>they were spun at 500g for 5 minutes to remove trypsin and then</w:t>
      </w:r>
      <w:r w:rsidRPr="001316BA">
        <w:rPr>
          <w:rFonts w:cstheme="minorHAnsi"/>
        </w:rPr>
        <w:t xml:space="preserve"> made up in 30mL of media, before being seeded at 100µL/well into a 96-well plate </w:t>
      </w:r>
      <w:r w:rsidRPr="001316BA">
        <w:rPr>
          <w:rFonts w:cstheme="minorHAnsi"/>
          <w:highlight w:val="yellow"/>
        </w:rPr>
        <w:t>(TPP manufacturer)</w:t>
      </w:r>
      <w:r w:rsidRPr="001316BA">
        <w:rPr>
          <w:rFonts w:cstheme="minorHAnsi"/>
        </w:rPr>
        <w:t>.</w:t>
      </w:r>
    </w:p>
    <w:p w14:paraId="7B833A14" w14:textId="77777777" w:rsidR="00EA4334" w:rsidRDefault="00EA4334" w:rsidP="00EA4334">
      <w:pPr>
        <w:rPr>
          <w:rFonts w:cstheme="minorHAnsi"/>
        </w:rPr>
      </w:pPr>
    </w:p>
    <w:p w14:paraId="781A5B24" w14:textId="20870A52" w:rsidR="00EA4334" w:rsidRDefault="00EA4334" w:rsidP="00EA4334">
      <w:r>
        <w:rPr>
          <w:rFonts w:cstheme="minorHAnsi"/>
        </w:rPr>
        <w:t>For long term storage 1*10</w:t>
      </w:r>
      <w:r w:rsidRPr="005E1C3B">
        <w:rPr>
          <w:rFonts w:cstheme="minorHAnsi"/>
          <w:vertAlign w:val="superscript"/>
        </w:rPr>
        <w:t>6</w:t>
      </w:r>
      <w:r>
        <w:rPr>
          <w:rFonts w:cstheme="minorHAnsi"/>
        </w:rPr>
        <w:t xml:space="preserve"> cells were frozen down in culture-specific freezing media </w:t>
      </w:r>
      <w:r w:rsidR="005E1C3B">
        <w:rPr>
          <w:rFonts w:cstheme="minorHAnsi"/>
        </w:rPr>
        <w:t>as advised by the manufacturer and</w:t>
      </w:r>
      <w:r>
        <w:rPr>
          <w:rFonts w:cstheme="minorHAnsi"/>
        </w:rPr>
        <w:t xml:space="preserve"> kept first kept at -80°C in a </w:t>
      </w:r>
      <w:r>
        <w:t>Mr Frosty (</w:t>
      </w:r>
      <w:r w:rsidRPr="001316BA">
        <w:rPr>
          <w:rFonts w:cstheme="minorHAnsi"/>
          <w:highlight w:val="yellow"/>
        </w:rPr>
        <w:t>manufacturer</w:t>
      </w:r>
      <w:r>
        <w:rPr>
          <w:rFonts w:cstheme="minorHAnsi"/>
        </w:rPr>
        <w:t>)</w:t>
      </w:r>
      <w:r>
        <w:t xml:space="preserve"> </w:t>
      </w:r>
      <w:r w:rsidR="005E1C3B">
        <w:t xml:space="preserve">for slow temperature reduction </w:t>
      </w:r>
      <w:r>
        <w:t>before being transferred</w:t>
      </w:r>
      <w:r>
        <w:rPr>
          <w:rFonts w:cstheme="minorHAnsi"/>
        </w:rPr>
        <w:t xml:space="preserve"> to liquid nitrogen.</w:t>
      </w:r>
    </w:p>
    <w:p w14:paraId="3A10C27F" w14:textId="77777777" w:rsidR="00EA4334" w:rsidRDefault="00EA4334" w:rsidP="00EA4334"/>
    <w:p w14:paraId="338FA341" w14:textId="45D9093C" w:rsidR="00EA4334" w:rsidRDefault="00EA4334" w:rsidP="00EA4334">
      <w:pPr>
        <w:pStyle w:val="ListParagraph"/>
        <w:numPr>
          <w:ilvl w:val="1"/>
          <w:numId w:val="3"/>
        </w:numPr>
      </w:pPr>
      <w:r>
        <w:t xml:space="preserve">Virus production </w:t>
      </w:r>
      <w:r>
        <w:br/>
      </w:r>
    </w:p>
    <w:p w14:paraId="62CB625B" w14:textId="1DD4B290" w:rsidR="00EA4334" w:rsidRDefault="00EA4334" w:rsidP="00EA4334">
      <w:r>
        <w:lastRenderedPageBreak/>
        <w:t xml:space="preserve">All viral strains, unless a specific protocol is cited, were </w:t>
      </w:r>
      <w:proofErr w:type="gramStart"/>
      <w:r>
        <w:t>grown</w:t>
      </w:r>
      <w:proofErr w:type="gramEnd"/>
      <w:r>
        <w:t xml:space="preserve"> and harvested as described below, in the cell type of intended further use (e.g., virus that will be used for infecting epithelial cells will be grown in epithelial cells).</w:t>
      </w:r>
    </w:p>
    <w:p w14:paraId="7FE69C25" w14:textId="77777777" w:rsidR="00EA4334" w:rsidRDefault="00EA4334" w:rsidP="00EA4334"/>
    <w:p w14:paraId="43DFF9C1" w14:textId="792B9FE5" w:rsidR="00EA4334" w:rsidRDefault="00EA4334" w:rsidP="00EA4334">
      <w:r>
        <w:t>A small amount of virus, aiming at MOI 0.01, would be introduced to a nearly confluent T175 flask. After 30minutes on orbital shaker (30 RPM) at RT the flask was transferred to a 37°C incubator. During the following few days, the infected flask would be monitored for CPE. Once more than 50% of cells in the flask have detached all media in the flask would be collected, spun down at 500g for 5 minutes to remove cell debris, and aliquoted into cryovials. The vials of harvested virus would be transferred into a -80</w:t>
      </w:r>
      <w:r w:rsidR="005E1C3B">
        <w:rPr>
          <w:rFonts w:cstheme="minorHAnsi"/>
        </w:rPr>
        <w:t>°C</w:t>
      </w:r>
      <w:r>
        <w:t xml:space="preserve"> freezer for storage until further use. </w:t>
      </w:r>
    </w:p>
    <w:p w14:paraId="179F6B9D" w14:textId="77777777" w:rsidR="00EA4334" w:rsidRDefault="00EA4334" w:rsidP="00EA4334"/>
    <w:p w14:paraId="26228338" w14:textId="76A1ADA6" w:rsidR="00C9378B" w:rsidRDefault="00EA4334" w:rsidP="00EA4334">
      <w:pPr>
        <w:pStyle w:val="ListParagraph"/>
        <w:numPr>
          <w:ilvl w:val="1"/>
          <w:numId w:val="3"/>
        </w:numPr>
      </w:pPr>
      <w:r>
        <w:t>Neutralisation assays</w:t>
      </w:r>
    </w:p>
    <w:p w14:paraId="7FEBFABF" w14:textId="77777777" w:rsidR="00EA4334" w:rsidRDefault="00EA4334" w:rsidP="00EA4334">
      <w:pPr>
        <w:pStyle w:val="ListParagraph"/>
      </w:pPr>
    </w:p>
    <w:p w14:paraId="5D1EC156" w14:textId="2FB16043" w:rsidR="00EA4334" w:rsidRDefault="00EA4334" w:rsidP="00EA4334">
      <w:r>
        <w:t xml:space="preserve">I have completed several assays determining if a certain compound is able to block cell-free virus. The general principle can be found below, and many variations added to the protocol are discussed further within specific chapters. </w:t>
      </w:r>
    </w:p>
    <w:p w14:paraId="75E196F7" w14:textId="77777777" w:rsidR="00EA4334" w:rsidRDefault="00EA4334" w:rsidP="00EA4334"/>
    <w:p w14:paraId="42AC9EA3" w14:textId="7C00887C" w:rsidR="00EA4334" w:rsidRDefault="00EA4334" w:rsidP="00EA4334">
      <w:r>
        <w:t>For all assays involving infection the optimal amount of virus needed for the desired end proportion of infected cells was first determined by a mock experiment with varying viral titres.</w:t>
      </w:r>
    </w:p>
    <w:p w14:paraId="6C9D2CFD" w14:textId="77777777" w:rsidR="00EA4334" w:rsidRDefault="00EA4334" w:rsidP="00EA4334"/>
    <w:p w14:paraId="53709B6E" w14:textId="1B883580" w:rsidR="00EA4334" w:rsidRPr="00EA4334" w:rsidRDefault="00EA4334" w:rsidP="00EA4334">
      <w:pPr>
        <w:rPr>
          <w:rFonts w:cstheme="minorHAnsi"/>
        </w:rPr>
      </w:pPr>
      <w:r w:rsidRPr="001316BA">
        <w:rPr>
          <w:rFonts w:cstheme="minorHAnsi"/>
        </w:rPr>
        <w:t xml:space="preserve">On the day of the assay the needed amount </w:t>
      </w:r>
      <w:r>
        <w:rPr>
          <w:rFonts w:cstheme="minorHAnsi"/>
        </w:rPr>
        <w:t xml:space="preserve">of </w:t>
      </w:r>
      <w:r w:rsidRPr="001316BA">
        <w:rPr>
          <w:rFonts w:cstheme="minorHAnsi"/>
        </w:rPr>
        <w:t xml:space="preserve">virus was combined with the relevant dilution of the </w:t>
      </w:r>
      <w:r>
        <w:rPr>
          <w:rFonts w:cstheme="minorHAnsi"/>
        </w:rPr>
        <w:t>inhibitor of interest</w:t>
      </w:r>
      <w:r w:rsidRPr="001316BA">
        <w:rPr>
          <w:rFonts w:cstheme="minorHAnsi"/>
        </w:rPr>
        <w:t xml:space="preserve">. </w:t>
      </w:r>
      <w:r>
        <w:rPr>
          <w:rFonts w:cstheme="minorHAnsi"/>
        </w:rPr>
        <w:t>T</w:t>
      </w:r>
      <w:r w:rsidRPr="001316BA">
        <w:rPr>
          <w:rFonts w:cstheme="minorHAnsi"/>
        </w:rPr>
        <w:t>he virus-</w:t>
      </w:r>
      <w:r>
        <w:rPr>
          <w:rFonts w:cstheme="minorHAnsi"/>
        </w:rPr>
        <w:t>inhibitor</w:t>
      </w:r>
      <w:r w:rsidRPr="001316BA">
        <w:rPr>
          <w:rFonts w:cstheme="minorHAnsi"/>
        </w:rPr>
        <w:t xml:space="preserve"> cocktail was</w:t>
      </w:r>
      <w:r>
        <w:rPr>
          <w:rFonts w:cstheme="minorHAnsi"/>
        </w:rPr>
        <w:t xml:space="preserve"> then</w:t>
      </w:r>
      <w:r w:rsidRPr="001316BA">
        <w:rPr>
          <w:rFonts w:cstheme="minorHAnsi"/>
        </w:rPr>
        <w:t xml:space="preserve"> inoculated at 37°C for 1 hour and then introduced onto cells. </w:t>
      </w:r>
      <w:r>
        <w:rPr>
          <w:rFonts w:cstheme="minorHAnsi"/>
        </w:rPr>
        <w:t>For HCMV infection, a</w:t>
      </w:r>
      <w:r w:rsidRPr="001316BA">
        <w:rPr>
          <w:rFonts w:cstheme="minorHAnsi"/>
        </w:rPr>
        <w:t>fter 3 hours at 37°C all liquid above cells was removed and changed for plain media</w:t>
      </w:r>
      <w:r>
        <w:rPr>
          <w:rFonts w:cstheme="minorHAnsi"/>
        </w:rPr>
        <w:t xml:space="preserve">, and the plate was fixed at 24hpi. For HSV-1 infection all liquid above the cells was changed for plain media after 1 hour at 37°C and the plate was fixed at 18hpi, to adjust for the shorter replication cycle of the virus. </w:t>
      </w:r>
    </w:p>
    <w:p w14:paraId="1952E945" w14:textId="77777777" w:rsidR="00EA4334" w:rsidRDefault="00EA4334" w:rsidP="00EA4334"/>
    <w:p w14:paraId="40E10718" w14:textId="3FEF6AD8" w:rsidR="00EA4334" w:rsidRDefault="00EA4334" w:rsidP="00EA4334">
      <w:pPr>
        <w:pStyle w:val="ListParagraph"/>
        <w:numPr>
          <w:ilvl w:val="1"/>
          <w:numId w:val="3"/>
        </w:numPr>
      </w:pPr>
      <w:r>
        <w:t>Fixing cells</w:t>
      </w:r>
    </w:p>
    <w:p w14:paraId="65BD556C" w14:textId="77777777" w:rsidR="00EA4334" w:rsidRDefault="00EA4334" w:rsidP="00EA4334"/>
    <w:p w14:paraId="7CA4B6D0" w14:textId="5C689B7C" w:rsidR="00EA4334" w:rsidRPr="001316BA" w:rsidRDefault="00EA4334" w:rsidP="00EA4334">
      <w:pPr>
        <w:rPr>
          <w:rFonts w:cstheme="minorHAnsi"/>
        </w:rPr>
      </w:pPr>
      <w:r w:rsidRPr="001316BA">
        <w:rPr>
          <w:rFonts w:cstheme="minorHAnsi"/>
        </w:rPr>
        <w:t xml:space="preserve">Cells were fixed at </w:t>
      </w:r>
      <w:r>
        <w:rPr>
          <w:rFonts w:cstheme="minorHAnsi"/>
        </w:rPr>
        <w:t xml:space="preserve">the desired time of end of experiment </w:t>
      </w:r>
      <w:r w:rsidRPr="001316BA">
        <w:rPr>
          <w:rFonts w:cstheme="minorHAnsi"/>
        </w:rPr>
        <w:t xml:space="preserve">with ice-cold ethanol for at least 20 minutes at -20°C. </w:t>
      </w:r>
      <w:r>
        <w:rPr>
          <w:rFonts w:cstheme="minorHAnsi"/>
        </w:rPr>
        <w:t xml:space="preserve">Experiments where HSV-1 was used were kept in ethanol for no longer than 30 minutes to avoid weakening the GFP signal. </w:t>
      </w:r>
    </w:p>
    <w:p w14:paraId="17BD7931" w14:textId="77777777" w:rsidR="00EA4334" w:rsidRDefault="00EA4334" w:rsidP="00EA4334"/>
    <w:p w14:paraId="6E1F5037" w14:textId="16BE3FE4" w:rsidR="00EA4334" w:rsidRDefault="00EA4334" w:rsidP="00EA4334">
      <w:pPr>
        <w:pStyle w:val="ListParagraph"/>
        <w:numPr>
          <w:ilvl w:val="1"/>
          <w:numId w:val="3"/>
        </w:numPr>
      </w:pPr>
      <w:r>
        <w:t>Infection visualisation and quantification</w:t>
      </w:r>
    </w:p>
    <w:p w14:paraId="1FA03780" w14:textId="1DC64C66" w:rsidR="00EA4334" w:rsidRDefault="00EA4334" w:rsidP="00EA4334"/>
    <w:p w14:paraId="3E9CE3B9" w14:textId="3913F032" w:rsidR="00EA4334" w:rsidRDefault="00EA4334" w:rsidP="00EA4334">
      <w:pPr>
        <w:pStyle w:val="ListParagraph"/>
        <w:numPr>
          <w:ilvl w:val="2"/>
          <w:numId w:val="3"/>
        </w:numPr>
      </w:pPr>
      <w:r>
        <w:t>Immunostaining</w:t>
      </w:r>
    </w:p>
    <w:p w14:paraId="45EAB432" w14:textId="77777777" w:rsidR="00EA4334" w:rsidRDefault="00EA4334" w:rsidP="00EA4334"/>
    <w:p w14:paraId="0CEF91AA" w14:textId="7E24441B" w:rsidR="005E1C3B" w:rsidRDefault="00EA4334" w:rsidP="005E1C3B">
      <w:pPr>
        <w:rPr>
          <w:rFonts w:cstheme="minorHAnsi"/>
        </w:rPr>
      </w:pPr>
      <w:r w:rsidRPr="001316BA">
        <w:rPr>
          <w:rFonts w:cstheme="minorHAnsi"/>
        </w:rPr>
        <w:t>Immunostaining</w:t>
      </w:r>
      <w:r>
        <w:rPr>
          <w:rFonts w:cstheme="minorHAnsi"/>
        </w:rPr>
        <w:t xml:space="preserve"> was performed with the appropriate mouse primary antibody and </w:t>
      </w:r>
      <w:r w:rsidRPr="001316BA">
        <w:rPr>
          <w:rFonts w:cstheme="minorHAnsi"/>
        </w:rPr>
        <w:t>an anti-mouse secondary antibody (Alexa Fluor 568, A11004, Thermo Fisher).</w:t>
      </w:r>
    </w:p>
    <w:p w14:paraId="6FA47E10" w14:textId="77777777" w:rsidR="00EA4334" w:rsidRDefault="00EA4334" w:rsidP="00EA4334">
      <w:pPr>
        <w:rPr>
          <w:rFonts w:cstheme="minorHAnsi"/>
        </w:rPr>
      </w:pPr>
    </w:p>
    <w:p w14:paraId="2E4ECEFB" w14:textId="4041484D" w:rsidR="00EA4334" w:rsidRDefault="00EA4334" w:rsidP="00EA4334">
      <w:pPr>
        <w:rPr>
          <w:rFonts w:cstheme="minorHAnsi"/>
        </w:rPr>
      </w:pPr>
      <w:r w:rsidRPr="001316BA">
        <w:rPr>
          <w:rFonts w:cstheme="minorHAnsi"/>
        </w:rPr>
        <w:t>Cells’ nuclei were stained for with Hoechst 33342 (4082S, Cell Signalling Technology)</w:t>
      </w:r>
      <w:r>
        <w:rPr>
          <w:rFonts w:cstheme="minorHAnsi"/>
        </w:rPr>
        <w:t xml:space="preserve"> or DAPI </w:t>
      </w:r>
      <w:r w:rsidRPr="001316BA">
        <w:rPr>
          <w:rFonts w:cstheme="minorHAnsi"/>
          <w:highlight w:val="yellow"/>
        </w:rPr>
        <w:t>(</w:t>
      </w:r>
      <w:r>
        <w:rPr>
          <w:rFonts w:cstheme="minorHAnsi"/>
          <w:highlight w:val="yellow"/>
        </w:rPr>
        <w:t xml:space="preserve">recipe, </w:t>
      </w:r>
      <w:r w:rsidRPr="001316BA">
        <w:rPr>
          <w:rFonts w:cstheme="minorHAnsi"/>
          <w:highlight w:val="yellow"/>
        </w:rPr>
        <w:t>manufacturer)</w:t>
      </w:r>
      <w:r>
        <w:rPr>
          <w:rFonts w:cstheme="minorHAnsi"/>
        </w:rPr>
        <w:t xml:space="preserve"> depending on availability, both made up to 0.01mg/mL with PBS.</w:t>
      </w:r>
    </w:p>
    <w:p w14:paraId="740BC376" w14:textId="77777777" w:rsidR="005E1C3B" w:rsidRDefault="005E1C3B" w:rsidP="00EA4334">
      <w:pPr>
        <w:rPr>
          <w:rFonts w:cstheme="minorHAnsi"/>
        </w:rPr>
      </w:pPr>
    </w:p>
    <w:p w14:paraId="597EA247" w14:textId="0D80249E" w:rsidR="00EA4334" w:rsidRPr="005E1C3B" w:rsidRDefault="005E1C3B" w:rsidP="005E1C3B">
      <w:pPr>
        <w:rPr>
          <w:rFonts w:cstheme="minorHAnsi"/>
        </w:rPr>
      </w:pPr>
      <w:r>
        <w:rPr>
          <w:rFonts w:cstheme="minorHAnsi"/>
        </w:rPr>
        <w:t xml:space="preserve">HCMV infection was visualised using a primary antibody specific to immediate early protein IE2 </w:t>
      </w:r>
      <w:r w:rsidRPr="001316BA">
        <w:rPr>
          <w:rFonts w:cstheme="minorHAnsi"/>
          <w:highlight w:val="yellow"/>
        </w:rPr>
        <w:t>(manufacturer)</w:t>
      </w:r>
      <w:r>
        <w:rPr>
          <w:rFonts w:cstheme="minorHAnsi"/>
        </w:rPr>
        <w:t xml:space="preserve">. VZV infection was visualised using a primary antibody specific to </w:t>
      </w:r>
      <w:r>
        <w:rPr>
          <w:rFonts w:cstheme="minorHAnsi"/>
        </w:rPr>
        <w:lastRenderedPageBreak/>
        <w:t xml:space="preserve">immediate early protein IE62 </w:t>
      </w:r>
      <w:r w:rsidRPr="001316BA">
        <w:rPr>
          <w:rFonts w:cstheme="minorHAnsi"/>
          <w:highlight w:val="yellow"/>
        </w:rPr>
        <w:t>(manufacturer)</w:t>
      </w:r>
      <w:r>
        <w:rPr>
          <w:rFonts w:cstheme="minorHAnsi"/>
        </w:rPr>
        <w:t xml:space="preserve">. </w:t>
      </w:r>
      <w:r w:rsidR="00EA4334">
        <w:t>HSV-1 infection was visualised without staining, using the associated viral green fluorescence due to the VP26-GFP fusion protein.</w:t>
      </w:r>
    </w:p>
    <w:p w14:paraId="01E97DA0" w14:textId="77777777" w:rsidR="00EA4334" w:rsidRDefault="00EA4334" w:rsidP="00EA4334"/>
    <w:p w14:paraId="71112060" w14:textId="64FF93E9" w:rsidR="00EA4334" w:rsidRDefault="00EA4334" w:rsidP="00EA4334">
      <w:pPr>
        <w:pStyle w:val="ListParagraph"/>
        <w:numPr>
          <w:ilvl w:val="2"/>
          <w:numId w:val="3"/>
        </w:numPr>
      </w:pPr>
      <w:r>
        <w:t xml:space="preserve">Fluorescent microscopy </w:t>
      </w:r>
    </w:p>
    <w:p w14:paraId="371EC1C8" w14:textId="77777777" w:rsidR="00EA4334" w:rsidRDefault="00EA4334" w:rsidP="00EA4334"/>
    <w:p w14:paraId="629C56B9" w14:textId="5E80ED21" w:rsidR="00EA4334" w:rsidRDefault="00EA4334" w:rsidP="00EA4334">
      <w:pPr>
        <w:rPr>
          <w:rFonts w:cstheme="minorHAnsi"/>
        </w:rPr>
      </w:pPr>
      <w:r w:rsidRPr="00EA4334">
        <w:rPr>
          <w:rFonts w:cstheme="minorHAnsi"/>
        </w:rPr>
        <w:t xml:space="preserve">The infection was visualised with the use of Hermes </w:t>
      </w:r>
      <w:proofErr w:type="spellStart"/>
      <w:r w:rsidRPr="00EA4334">
        <w:rPr>
          <w:rFonts w:cstheme="minorHAnsi"/>
        </w:rPr>
        <w:t>Wiscan</w:t>
      </w:r>
      <w:proofErr w:type="spellEnd"/>
      <w:r w:rsidRPr="00EA4334">
        <w:rPr>
          <w:rFonts w:cstheme="minorHAnsi"/>
        </w:rPr>
        <w:t xml:space="preserve"> automated fluorescent microscope </w:t>
      </w:r>
      <w:r w:rsidRPr="00EA4334">
        <w:rPr>
          <w:rFonts w:cstheme="minorHAnsi"/>
          <w:highlight w:val="yellow"/>
        </w:rPr>
        <w:t>(manufacturer)</w:t>
      </w:r>
      <w:r w:rsidRPr="00EA4334">
        <w:rPr>
          <w:rFonts w:cstheme="minorHAnsi"/>
        </w:rPr>
        <w:t xml:space="preserve"> and </w:t>
      </w:r>
      <w:r w:rsidR="00D900E8">
        <w:rPr>
          <w:rFonts w:cstheme="minorHAnsi"/>
        </w:rPr>
        <w:t xml:space="preserve">further </w:t>
      </w:r>
      <w:r w:rsidRPr="00EA4334">
        <w:rPr>
          <w:rFonts w:cstheme="minorHAnsi"/>
        </w:rPr>
        <w:t xml:space="preserve">quantified with </w:t>
      </w:r>
      <w:proofErr w:type="spellStart"/>
      <w:r w:rsidRPr="00EA4334">
        <w:rPr>
          <w:rFonts w:cstheme="minorHAnsi"/>
        </w:rPr>
        <w:t>Metamorph</w:t>
      </w:r>
      <w:proofErr w:type="spellEnd"/>
      <w:r w:rsidRPr="00EA4334">
        <w:rPr>
          <w:rFonts w:cstheme="minorHAnsi"/>
        </w:rPr>
        <w:t xml:space="preserve"> software </w:t>
      </w:r>
      <w:r w:rsidRPr="00EA4334">
        <w:rPr>
          <w:rFonts w:cstheme="minorHAnsi"/>
          <w:highlight w:val="yellow"/>
        </w:rPr>
        <w:t>(manufacturer)</w:t>
      </w:r>
      <w:r w:rsidRPr="00EA4334">
        <w:rPr>
          <w:rFonts w:cstheme="minorHAnsi"/>
        </w:rPr>
        <w:t>.</w:t>
      </w:r>
      <w:r w:rsidR="00D900E8">
        <w:rPr>
          <w:rFonts w:cstheme="minorHAnsi"/>
        </w:rPr>
        <w:t xml:space="preserve"> Imaging protocols, acquired pictures and </w:t>
      </w:r>
      <w:proofErr w:type="gramStart"/>
      <w:r w:rsidR="00D900E8">
        <w:rPr>
          <w:rFonts w:cstheme="minorHAnsi"/>
        </w:rPr>
        <w:t>montages</w:t>
      </w:r>
      <w:proofErr w:type="gramEnd"/>
      <w:r w:rsidR="00D900E8">
        <w:rPr>
          <w:rFonts w:cstheme="minorHAnsi"/>
        </w:rPr>
        <w:t xml:space="preserve">  </w:t>
      </w:r>
    </w:p>
    <w:p w14:paraId="07E01C63" w14:textId="37DC7B5C" w:rsidR="00D900E8" w:rsidRPr="00D900E8" w:rsidRDefault="00D900E8" w:rsidP="00D900E8">
      <w:pPr>
        <w:rPr>
          <w:rFonts w:cstheme="minorHAnsi"/>
        </w:rPr>
      </w:pPr>
      <w:r w:rsidRPr="00D900E8">
        <w:rPr>
          <w:rFonts w:cstheme="minorHAnsi"/>
          <w:highlight w:val="yellow"/>
        </w:rPr>
        <w:t>(protocols for Hermes?</w:t>
      </w:r>
      <w:r>
        <w:rPr>
          <w:rFonts w:cstheme="minorHAnsi"/>
        </w:rPr>
        <w:t xml:space="preserve"> </w:t>
      </w:r>
      <w:r w:rsidRPr="00D900E8">
        <w:rPr>
          <w:rFonts w:cstheme="minorHAnsi"/>
          <w:highlight w:val="yellow"/>
        </w:rPr>
        <w:t xml:space="preserve">upload everything on </w:t>
      </w:r>
      <w:proofErr w:type="spellStart"/>
      <w:r w:rsidRPr="00D900E8">
        <w:rPr>
          <w:rFonts w:cstheme="minorHAnsi"/>
          <w:highlight w:val="yellow"/>
        </w:rPr>
        <w:t>github</w:t>
      </w:r>
      <w:proofErr w:type="spellEnd"/>
      <w:r w:rsidRPr="00D900E8">
        <w:rPr>
          <w:rFonts w:cstheme="minorHAnsi"/>
          <w:highlight w:val="yellow"/>
        </w:rPr>
        <w:t>?</w:t>
      </w:r>
      <w:r>
        <w:rPr>
          <w:rFonts w:cstheme="minorHAnsi"/>
        </w:rPr>
        <w:t xml:space="preserve">) </w:t>
      </w:r>
    </w:p>
    <w:p w14:paraId="03FC1449" w14:textId="77777777" w:rsidR="00EA4334" w:rsidRDefault="00EA4334" w:rsidP="00EA4334"/>
    <w:p w14:paraId="16E22B95" w14:textId="3FD17259" w:rsidR="00EA4334" w:rsidRDefault="00CE5FC5" w:rsidP="00EA4334">
      <w:pPr>
        <w:pStyle w:val="ListParagraph"/>
        <w:numPr>
          <w:ilvl w:val="1"/>
          <w:numId w:val="3"/>
        </w:numPr>
      </w:pPr>
      <w:r>
        <w:t>Peptide preparation</w:t>
      </w:r>
    </w:p>
    <w:p w14:paraId="1A63D736" w14:textId="77777777" w:rsidR="00CE5FC5" w:rsidRDefault="00CE5FC5" w:rsidP="00CE5FC5"/>
    <w:p w14:paraId="20C3A220" w14:textId="449DDBC8" w:rsidR="00CE5FC5" w:rsidRDefault="00CE5FC5" w:rsidP="00CE5FC5">
      <w:r>
        <w:t xml:space="preserve">Custom peptides were purchased from Peptide2.0 US and </w:t>
      </w:r>
      <w:proofErr w:type="spellStart"/>
      <w:r>
        <w:t>Genscript</w:t>
      </w:r>
      <w:proofErr w:type="spellEnd"/>
      <w:r>
        <w:t xml:space="preserve"> UK as lyophilised powder and made up with 100% DMSO to a concentration of &gt;20mg/mL and then aliquoted for long-term storage at -20°C. </w:t>
      </w:r>
      <w:r w:rsidR="003D59E9">
        <w:t xml:space="preserve">Some peptides were ordered with a GGC tag to improve their binding to an ELISA plate in further experiments </w:t>
      </w:r>
      <w:r w:rsidR="003D59E9" w:rsidRPr="003D59E9">
        <w:rPr>
          <w:highlight w:val="yellow"/>
        </w:rPr>
        <w:t>(do I need a ref for that??).</w:t>
      </w:r>
      <w:r w:rsidR="003D59E9">
        <w:t xml:space="preserve"> Peptide sequences can be found in </w:t>
      </w:r>
      <w:r w:rsidR="003D59E9" w:rsidRPr="003D59E9">
        <w:rPr>
          <w:highlight w:val="yellow"/>
        </w:rPr>
        <w:t>[</w:t>
      </w:r>
      <w:proofErr w:type="spellStart"/>
      <w:r w:rsidR="003D59E9" w:rsidRPr="003D59E9">
        <w:rPr>
          <w:highlight w:val="yellow"/>
        </w:rPr>
        <w:t>Peptide_table</w:t>
      </w:r>
      <w:proofErr w:type="spellEnd"/>
      <w:r w:rsidR="003D59E9" w:rsidRPr="003D59E9">
        <w:rPr>
          <w:highlight w:val="yellow"/>
        </w:rPr>
        <w:t>]</w:t>
      </w:r>
      <w:r w:rsidR="003D59E9">
        <w:t>.</w:t>
      </w:r>
    </w:p>
    <w:p w14:paraId="0AD5C504" w14:textId="77777777" w:rsidR="00CE5FC5" w:rsidRDefault="00CE5FC5" w:rsidP="00CE5FC5"/>
    <w:p w14:paraId="6B543AD2" w14:textId="3B93000E" w:rsidR="00CE5FC5" w:rsidRDefault="00CE5FC5" w:rsidP="00EA4334">
      <w:pPr>
        <w:pStyle w:val="ListParagraph"/>
        <w:numPr>
          <w:ilvl w:val="1"/>
          <w:numId w:val="3"/>
        </w:numPr>
      </w:pPr>
      <w:r>
        <w:t>ELISA</w:t>
      </w:r>
    </w:p>
    <w:p w14:paraId="6645A8D9" w14:textId="77777777" w:rsidR="00EA4334" w:rsidRDefault="00EA4334" w:rsidP="00EA4334"/>
    <w:p w14:paraId="054AF7F4" w14:textId="7DB3749F" w:rsidR="00EA4334" w:rsidRDefault="00EA4334" w:rsidP="00EA4334">
      <w:r>
        <w:t xml:space="preserve">While all ELISA I have conducted throughout my thesis were different from one another, the principle stayed the same. </w:t>
      </w:r>
    </w:p>
    <w:p w14:paraId="7DAEA1E1" w14:textId="77777777" w:rsidR="00EA4334" w:rsidRDefault="00EA4334" w:rsidP="00EA4334"/>
    <w:p w14:paraId="2F854221" w14:textId="77777777" w:rsidR="00EA4334" w:rsidRPr="001316BA" w:rsidRDefault="00EA4334" w:rsidP="00EA4334">
      <w:pPr>
        <w:rPr>
          <w:rFonts w:cstheme="minorHAnsi"/>
        </w:rPr>
      </w:pPr>
      <w:r w:rsidRPr="001316BA">
        <w:rPr>
          <w:rFonts w:cstheme="minorHAnsi"/>
        </w:rPr>
        <w:t>The 96-well plate (</w:t>
      </w:r>
      <w:r w:rsidRPr="001316BA">
        <w:rPr>
          <w:rFonts w:cstheme="minorHAnsi"/>
          <w:highlight w:val="yellow"/>
        </w:rPr>
        <w:t xml:space="preserve">NUNC </w:t>
      </w:r>
      <w:proofErr w:type="spellStart"/>
      <w:r w:rsidRPr="001316BA">
        <w:rPr>
          <w:rFonts w:cstheme="minorHAnsi"/>
          <w:highlight w:val="yellow"/>
        </w:rPr>
        <w:t>Immuno</w:t>
      </w:r>
      <w:proofErr w:type="spellEnd"/>
      <w:r w:rsidRPr="001316BA">
        <w:rPr>
          <w:rFonts w:cstheme="minorHAnsi"/>
          <w:highlight w:val="yellow"/>
        </w:rPr>
        <w:t xml:space="preserve"> manufacturer)</w:t>
      </w:r>
      <w:r w:rsidRPr="001316BA">
        <w:rPr>
          <w:rFonts w:cstheme="minorHAnsi"/>
        </w:rPr>
        <w:t xml:space="preserve"> was coated with 100µL of prepared substrate of interest made up to needed concentration in coating Carbonate-Bicarbonate buffer pH 10 and left at 4°C overnight. </w:t>
      </w:r>
    </w:p>
    <w:p w14:paraId="2646BC8A" w14:textId="77777777" w:rsidR="00EA4334" w:rsidRPr="001316BA" w:rsidRDefault="00EA4334" w:rsidP="00EA4334">
      <w:pPr>
        <w:rPr>
          <w:rFonts w:cstheme="minorHAnsi"/>
        </w:rPr>
      </w:pPr>
    </w:p>
    <w:p w14:paraId="02BBB7BA" w14:textId="77777777" w:rsidR="00EA4334" w:rsidRPr="001316BA" w:rsidRDefault="00EA4334" w:rsidP="00EA4334">
      <w:pPr>
        <w:rPr>
          <w:rFonts w:cstheme="minorHAnsi"/>
        </w:rPr>
      </w:pPr>
      <w:r w:rsidRPr="001316BA">
        <w:rPr>
          <w:rFonts w:cstheme="minorHAnsi"/>
        </w:rPr>
        <w:t xml:space="preserve">Each step on the day of the assay apart from the final addition of acid was preceded by washing the plate at least 3 times with excess PBS-T (PBS with 0.1% Tween-20, </w:t>
      </w:r>
      <w:r w:rsidRPr="001316BA">
        <w:rPr>
          <w:rFonts w:cstheme="minorHAnsi"/>
          <w:highlight w:val="yellow"/>
        </w:rPr>
        <w:t>manufacturer)</w:t>
      </w:r>
      <w:r w:rsidRPr="001316BA">
        <w:rPr>
          <w:rFonts w:cstheme="minorHAnsi"/>
        </w:rPr>
        <w:t xml:space="preserve"> and then patting it dry on tissue paper. </w:t>
      </w:r>
    </w:p>
    <w:p w14:paraId="768419E2" w14:textId="77777777" w:rsidR="00EA4334" w:rsidRPr="001316BA" w:rsidRDefault="00EA4334" w:rsidP="00EA4334">
      <w:pPr>
        <w:rPr>
          <w:rFonts w:cstheme="minorHAnsi"/>
        </w:rPr>
      </w:pPr>
    </w:p>
    <w:p w14:paraId="44E1DF9A" w14:textId="64A864AD" w:rsidR="00EA4334" w:rsidRPr="001316BA" w:rsidRDefault="00EA4334" w:rsidP="00EA4334">
      <w:pPr>
        <w:rPr>
          <w:rFonts w:cstheme="minorHAnsi"/>
        </w:rPr>
      </w:pPr>
      <w:r w:rsidRPr="001316BA">
        <w:rPr>
          <w:rFonts w:cstheme="minorHAnsi"/>
        </w:rPr>
        <w:t>On the day of the assay the plate was blocked with 2% FBS in PBS blocking buffer, before the addition of the</w:t>
      </w:r>
      <w:r w:rsidR="005E1C3B">
        <w:rPr>
          <w:rFonts w:cstheme="minorHAnsi"/>
        </w:rPr>
        <w:t xml:space="preserve"> relevant</w:t>
      </w:r>
      <w:r w:rsidRPr="001316BA">
        <w:rPr>
          <w:rFonts w:cstheme="minorHAnsi"/>
        </w:rPr>
        <w:t xml:space="preserve"> primary antibody</w:t>
      </w:r>
      <w:r w:rsidR="005E1C3B">
        <w:rPr>
          <w:rFonts w:cstheme="minorHAnsi"/>
        </w:rPr>
        <w:t xml:space="preserve"> </w:t>
      </w:r>
      <w:r w:rsidRPr="001316BA">
        <w:rPr>
          <w:rFonts w:cstheme="minorHAnsi"/>
        </w:rPr>
        <w:t>diluted to the desirable concentrations in blocking buffer. This was followed by introducing the secondary antibody</w:t>
      </w:r>
      <w:r w:rsidR="005E1C3B">
        <w:rPr>
          <w:rFonts w:cstheme="minorHAnsi"/>
        </w:rPr>
        <w:t>,</w:t>
      </w:r>
      <w:r w:rsidRPr="001316BA">
        <w:rPr>
          <w:rFonts w:cstheme="minorHAnsi"/>
        </w:rPr>
        <w:t xml:space="preserve"> </w:t>
      </w:r>
      <w:r w:rsidR="005E1C3B">
        <w:rPr>
          <w:rFonts w:cstheme="minorHAnsi"/>
        </w:rPr>
        <w:t xml:space="preserve">specific to the Fc domain of the primary domain, </w:t>
      </w:r>
      <w:r w:rsidRPr="001316BA">
        <w:rPr>
          <w:rFonts w:cstheme="minorHAnsi"/>
        </w:rPr>
        <w:t xml:space="preserve">made </w:t>
      </w:r>
      <w:r w:rsidRPr="00EA4334">
        <w:rPr>
          <w:rFonts w:cstheme="minorHAnsi"/>
        </w:rPr>
        <w:t>up 1:</w:t>
      </w:r>
      <w:r w:rsidR="005E1C3B">
        <w:rPr>
          <w:rFonts w:cstheme="minorHAnsi"/>
        </w:rPr>
        <w:t>10000</w:t>
      </w:r>
      <w:r w:rsidRPr="00EA4334">
        <w:rPr>
          <w:rFonts w:cstheme="minorHAnsi"/>
        </w:rPr>
        <w:t xml:space="preserve"> in</w:t>
      </w:r>
      <w:r w:rsidRPr="001316BA">
        <w:rPr>
          <w:rFonts w:cstheme="minorHAnsi"/>
        </w:rPr>
        <w:t xml:space="preserve"> blocking buffer. Blocking buffer, primary antibody and secondary antibody were each incubated for 1 hour at 37°C </w:t>
      </w:r>
      <w:r>
        <w:rPr>
          <w:rFonts w:cstheme="minorHAnsi"/>
        </w:rPr>
        <w:t>after</w:t>
      </w:r>
      <w:r w:rsidRPr="001316BA">
        <w:rPr>
          <w:rFonts w:cstheme="minorHAnsi"/>
        </w:rPr>
        <w:t xml:space="preserve"> being added onto the plate.</w:t>
      </w:r>
    </w:p>
    <w:p w14:paraId="284BE1F3" w14:textId="77777777" w:rsidR="00EA4334" w:rsidRPr="001316BA" w:rsidRDefault="00EA4334" w:rsidP="00EA4334">
      <w:pPr>
        <w:rPr>
          <w:rFonts w:cstheme="minorHAnsi"/>
        </w:rPr>
      </w:pPr>
    </w:p>
    <w:p w14:paraId="0227FA4D" w14:textId="125AD40A" w:rsidR="00EA4334" w:rsidRPr="00EA4334" w:rsidRDefault="00EA4334" w:rsidP="00EA4334">
      <w:pPr>
        <w:rPr>
          <w:rFonts w:cstheme="minorHAnsi"/>
        </w:rPr>
      </w:pPr>
      <w:r w:rsidRPr="001316BA">
        <w:rPr>
          <w:rFonts w:cstheme="minorHAnsi"/>
        </w:rPr>
        <w:t xml:space="preserve">Finally, 50µL of TMB substrate </w:t>
      </w:r>
      <w:r w:rsidRPr="001316BA">
        <w:rPr>
          <w:rFonts w:cstheme="minorHAnsi"/>
          <w:highlight w:val="yellow"/>
        </w:rPr>
        <w:t>(manufacturer)</w:t>
      </w:r>
      <w:r w:rsidRPr="001316BA">
        <w:rPr>
          <w:rFonts w:cstheme="minorHAnsi"/>
        </w:rPr>
        <w:t xml:space="preserve"> was added onto a thoroughly washed and dried plate and left in the dark to develop. The reaction was stopped with 50µL o</w:t>
      </w:r>
      <w:r w:rsidRPr="00EA4334">
        <w:rPr>
          <w:rFonts w:cstheme="minorHAnsi"/>
        </w:rPr>
        <w:t xml:space="preserve">f 1M </w:t>
      </w:r>
      <w:r>
        <w:rPr>
          <w:rFonts w:cstheme="minorHAnsi"/>
        </w:rPr>
        <w:t>p</w:t>
      </w:r>
      <w:r w:rsidRPr="00EA4334">
        <w:rPr>
          <w:rFonts w:cstheme="minorHAnsi"/>
        </w:rPr>
        <w:t>hosphoric acid</w:t>
      </w:r>
      <w:r w:rsidRPr="001316BA">
        <w:rPr>
          <w:rFonts w:cstheme="minorHAnsi"/>
        </w:rPr>
        <w:t xml:space="preserve"> and quantified immediately by measuring </w:t>
      </w:r>
      <w:r>
        <w:rPr>
          <w:rFonts w:cstheme="minorHAnsi"/>
        </w:rPr>
        <w:t>optical density</w:t>
      </w:r>
      <w:r w:rsidRPr="001316BA">
        <w:rPr>
          <w:rFonts w:cstheme="minorHAnsi"/>
        </w:rPr>
        <w:t xml:space="preserve"> at </w:t>
      </w:r>
      <w:r w:rsidRPr="00EA4334">
        <w:rPr>
          <w:rFonts w:cstheme="minorHAnsi"/>
        </w:rPr>
        <w:t>450nm, with the use of</w:t>
      </w:r>
      <w:r w:rsidR="005E1C3B">
        <w:rPr>
          <w:rFonts w:cstheme="minorHAnsi"/>
        </w:rPr>
        <w:t xml:space="preserve"> MultiscanFC</w:t>
      </w:r>
      <w:r w:rsidRPr="00EA4334">
        <w:rPr>
          <w:rFonts w:cstheme="minorHAnsi"/>
        </w:rPr>
        <w:t xml:space="preserve"> ELISA plate </w:t>
      </w:r>
      <w:r w:rsidRPr="005E1C3B">
        <w:rPr>
          <w:rFonts w:cstheme="minorHAnsi"/>
        </w:rPr>
        <w:t>reader (</w:t>
      </w:r>
      <w:r w:rsidR="005E1C3B" w:rsidRPr="005E1C3B">
        <w:rPr>
          <w:rFonts w:cstheme="minorHAnsi"/>
        </w:rPr>
        <w:t>Thermo Fisher</w:t>
      </w:r>
      <w:r w:rsidRPr="005E1C3B">
        <w:rPr>
          <w:rFonts w:cstheme="minorHAnsi"/>
        </w:rPr>
        <w:t>). During</w:t>
      </w:r>
      <w:r w:rsidRPr="001316BA">
        <w:rPr>
          <w:rFonts w:cstheme="minorHAnsi"/>
        </w:rPr>
        <w:t xml:space="preserve"> the data analysis the negative control values were subtracted from all others to account for background fluorescence. </w:t>
      </w:r>
    </w:p>
    <w:p w14:paraId="1A5DADD3" w14:textId="77777777" w:rsidR="00EA4334" w:rsidRDefault="00EA4334" w:rsidP="00EA4334"/>
    <w:p w14:paraId="76B88C1A" w14:textId="4F1DC870" w:rsidR="00D900E8" w:rsidRDefault="00D900E8" w:rsidP="00EA4334">
      <w:pPr>
        <w:pStyle w:val="ListParagraph"/>
        <w:numPr>
          <w:ilvl w:val="1"/>
          <w:numId w:val="3"/>
        </w:numPr>
      </w:pPr>
      <w:r>
        <w:t>DNA extraction</w:t>
      </w:r>
    </w:p>
    <w:p w14:paraId="2E374C00" w14:textId="77777777" w:rsidR="00D900E8" w:rsidRDefault="00D900E8" w:rsidP="00D900E8"/>
    <w:p w14:paraId="66E980D1" w14:textId="0511AB60" w:rsidR="00D900E8" w:rsidRDefault="00D900E8" w:rsidP="00D900E8">
      <w:r>
        <w:lastRenderedPageBreak/>
        <w:t xml:space="preserve">Unless specified otherwise, DNA extraction was performed by </w:t>
      </w:r>
      <w:proofErr w:type="gramStart"/>
      <w:r>
        <w:t>adding</w:t>
      </w:r>
      <w:proofErr w:type="gramEnd"/>
      <w:r>
        <w:t xml:space="preserve"> </w:t>
      </w:r>
    </w:p>
    <w:p w14:paraId="18B7088B" w14:textId="77777777" w:rsidR="00D900E8" w:rsidRDefault="00D900E8" w:rsidP="00D900E8"/>
    <w:p w14:paraId="27762F83" w14:textId="554C99E3" w:rsidR="00EA4334" w:rsidRDefault="00EA4334" w:rsidP="00EA4334">
      <w:pPr>
        <w:pStyle w:val="ListParagraph"/>
        <w:numPr>
          <w:ilvl w:val="1"/>
          <w:numId w:val="3"/>
        </w:numPr>
      </w:pPr>
      <w:r>
        <w:t>Polymerase Chain Reaction (PCR)</w:t>
      </w:r>
    </w:p>
    <w:p w14:paraId="01635B28" w14:textId="77777777" w:rsidR="00EA4334" w:rsidRDefault="00EA4334" w:rsidP="00EA4334"/>
    <w:p w14:paraId="037FB72B" w14:textId="471F2EFF" w:rsidR="00EA4334" w:rsidRPr="00EA4334" w:rsidRDefault="00EA4334" w:rsidP="00EA4334">
      <w:pPr>
        <w:rPr>
          <w:rFonts w:cstheme="minorHAnsi"/>
        </w:rPr>
      </w:pPr>
      <w:r>
        <w:t xml:space="preserve">Reactions were set up using </w:t>
      </w:r>
      <w:r w:rsidR="00D900E8">
        <w:t xml:space="preserve">a PCR </w:t>
      </w:r>
      <w:proofErr w:type="spellStart"/>
      <w:r w:rsidRPr="00D900E8">
        <w:t>Mastermix</w:t>
      </w:r>
      <w:proofErr w:type="spellEnd"/>
      <w:r w:rsidRPr="00D900E8">
        <w:t xml:space="preserve"> </w:t>
      </w:r>
      <w:r w:rsidRPr="00D900E8">
        <w:rPr>
          <w:rFonts w:cstheme="minorHAnsi"/>
        </w:rPr>
        <w:t>(</w:t>
      </w:r>
      <w:r w:rsidR="00D900E8" w:rsidRPr="00D900E8">
        <w:rPr>
          <w:rFonts w:cstheme="minorHAnsi"/>
        </w:rPr>
        <w:t>Thermo Fisher</w:t>
      </w:r>
      <w:r w:rsidRPr="00D900E8">
        <w:rPr>
          <w:rFonts w:cstheme="minorHAnsi"/>
        </w:rPr>
        <w:t>)</w:t>
      </w:r>
      <w:r w:rsidR="00D900E8">
        <w:rPr>
          <w:rFonts w:cstheme="minorHAnsi"/>
        </w:rPr>
        <w:t>, relevant primers, and template DNA</w:t>
      </w:r>
      <w:r>
        <w:rPr>
          <w:rFonts w:cstheme="minorHAnsi"/>
        </w:rPr>
        <w:t xml:space="preserve"> on a </w:t>
      </w:r>
      <w:r w:rsidR="00D900E8">
        <w:rPr>
          <w:rFonts w:cstheme="minorHAnsi"/>
        </w:rPr>
        <w:t xml:space="preserve">thermocycler </w:t>
      </w:r>
      <w:r w:rsidRPr="001316BA">
        <w:rPr>
          <w:rFonts w:cstheme="minorHAnsi"/>
          <w:highlight w:val="yellow"/>
        </w:rPr>
        <w:t>(manufacturer)</w:t>
      </w:r>
      <w:r w:rsidRPr="001316BA">
        <w:rPr>
          <w:rFonts w:cstheme="minorHAnsi"/>
        </w:rPr>
        <w:t>.</w:t>
      </w:r>
      <w:r w:rsidR="00D900E8">
        <w:rPr>
          <w:rFonts w:cstheme="minorHAnsi"/>
        </w:rPr>
        <w:t xml:space="preserve"> The reaction conditions were set up in accordance with the manufacturer’s protocol.</w:t>
      </w:r>
    </w:p>
    <w:p w14:paraId="4373A538" w14:textId="77777777" w:rsidR="00EA4334" w:rsidRDefault="00EA4334" w:rsidP="00EA4334"/>
    <w:p w14:paraId="0FE4A466" w14:textId="6829CACE" w:rsidR="00EA4334" w:rsidRDefault="00EA4334" w:rsidP="00EA4334">
      <w:pPr>
        <w:rPr>
          <w:rFonts w:cstheme="minorHAnsi"/>
        </w:rPr>
      </w:pPr>
      <w:r>
        <w:t xml:space="preserve">Where needed, the PCR products were separated with a gel electrophoresis on a 1% agarose TAE gel </w:t>
      </w:r>
      <w:r w:rsidRPr="001316BA">
        <w:rPr>
          <w:rFonts w:cstheme="minorHAnsi"/>
          <w:highlight w:val="yellow"/>
        </w:rPr>
        <w:t>(</w:t>
      </w:r>
      <w:r>
        <w:rPr>
          <w:rFonts w:cstheme="minorHAnsi"/>
          <w:highlight w:val="yellow"/>
        </w:rPr>
        <w:t xml:space="preserve">tank </w:t>
      </w:r>
      <w:r w:rsidRPr="001316BA">
        <w:rPr>
          <w:rFonts w:cstheme="minorHAnsi"/>
          <w:highlight w:val="yellow"/>
        </w:rPr>
        <w:t>manufacturer)</w:t>
      </w:r>
      <w:r>
        <w:rPr>
          <w:rFonts w:cstheme="minorHAnsi"/>
        </w:rPr>
        <w:t xml:space="preserve"> </w:t>
      </w:r>
      <w:r>
        <w:t xml:space="preserve">and purified using a </w:t>
      </w:r>
      <w:r w:rsidRPr="00EA4334">
        <w:rPr>
          <w:highlight w:val="yellow"/>
        </w:rPr>
        <w:t>kit</w:t>
      </w:r>
      <w:r>
        <w:t xml:space="preserve"> </w:t>
      </w:r>
      <w:r w:rsidRPr="001316BA">
        <w:rPr>
          <w:rFonts w:cstheme="minorHAnsi"/>
          <w:highlight w:val="yellow"/>
        </w:rPr>
        <w:t>(manufacturer)</w:t>
      </w:r>
      <w:r w:rsidRPr="001316BA">
        <w:rPr>
          <w:rFonts w:cstheme="minorHAnsi"/>
        </w:rPr>
        <w:t>.</w:t>
      </w:r>
    </w:p>
    <w:p w14:paraId="6358F9C5" w14:textId="77777777" w:rsidR="00EA4334" w:rsidRDefault="00EA4334" w:rsidP="00EA4334"/>
    <w:p w14:paraId="0BC5AC5F" w14:textId="7A305F29" w:rsidR="00EA4334" w:rsidRDefault="00EA4334" w:rsidP="009C0936">
      <w:pPr>
        <w:rPr>
          <w:rFonts w:cstheme="minorHAnsi"/>
        </w:rPr>
      </w:pPr>
      <w:r>
        <w:t>Quantitative Real Time PCR (q-RT PCR) was set up using Power-Up SYBR Master Mix (</w:t>
      </w:r>
      <w:r>
        <w:rPr>
          <w:rFonts w:cstheme="minorHAnsi"/>
        </w:rPr>
        <w:t>Thermo Fishe</w:t>
      </w:r>
      <w:r w:rsidR="005E1C3B">
        <w:rPr>
          <w:rFonts w:cstheme="minorHAnsi"/>
        </w:rPr>
        <w:t>r</w:t>
      </w:r>
      <w:r>
        <w:rPr>
          <w:rFonts w:cstheme="minorHAnsi"/>
        </w:rPr>
        <w:t xml:space="preserve">) in accordance with the manufacturer’s protocol using a QuantStudio3 (Applied Biosystems by Thermo Fisher) thermocycler. All oligonucleotides and primers were ordered from Thermo Fisher. </w:t>
      </w:r>
      <w:r w:rsidR="005E1C3B">
        <w:rPr>
          <w:rFonts w:cstheme="minorHAnsi"/>
        </w:rPr>
        <w:t xml:space="preserve"> </w:t>
      </w:r>
      <w:r>
        <w:rPr>
          <w:rFonts w:cstheme="minorHAnsi"/>
        </w:rPr>
        <w:t>Sequences and melting temperatures for primers</w:t>
      </w:r>
      <w:r w:rsidR="005E1C3B">
        <w:rPr>
          <w:rFonts w:cstheme="minorHAnsi"/>
        </w:rPr>
        <w:t xml:space="preserve"> </w:t>
      </w:r>
      <w:r>
        <w:rPr>
          <w:rFonts w:cstheme="minorHAnsi"/>
        </w:rPr>
        <w:t xml:space="preserve">used for PCR and q-RT PCR can be found in </w:t>
      </w:r>
      <w:proofErr w:type="spellStart"/>
      <w:r w:rsidRPr="00EA4334">
        <w:rPr>
          <w:rFonts w:cstheme="minorHAnsi"/>
          <w:highlight w:val="yellow"/>
        </w:rPr>
        <w:t>Primers_table</w:t>
      </w:r>
      <w:proofErr w:type="spellEnd"/>
      <w:r>
        <w:rPr>
          <w:rFonts w:cstheme="minorHAnsi"/>
        </w:rPr>
        <w:t xml:space="preserve"> and are given appropriate annotations in text. </w:t>
      </w:r>
      <w:r w:rsidR="009C0936">
        <w:rPr>
          <w:rFonts w:cstheme="minorHAnsi"/>
        </w:rPr>
        <w:t xml:space="preserve">Primers marked as “designed by self” were picked using Primer3Plus online toolkit </w:t>
      </w:r>
      <w:r w:rsidR="009C0936" w:rsidRPr="009C0936">
        <w:rPr>
          <w:rFonts w:cstheme="minorHAnsi"/>
        </w:rPr>
        <w:t>(</w:t>
      </w:r>
      <w:hyperlink r:id="rId6" w:history="1">
        <w:r w:rsidR="009C0936" w:rsidRPr="00773851">
          <w:rPr>
            <w:rStyle w:val="Hyperlink"/>
            <w:rFonts w:cstheme="minorHAnsi"/>
          </w:rPr>
          <w:t>www.bioinformatics.nl/cgi-bin/primer3plus/primer3plus.cgi</w:t>
        </w:r>
      </w:hyperlink>
      <w:r w:rsidR="009C0936">
        <w:rPr>
          <w:rFonts w:cstheme="minorHAnsi"/>
        </w:rPr>
        <w:t>)</w:t>
      </w:r>
      <w:r w:rsidR="00E01679">
        <w:rPr>
          <w:rFonts w:cstheme="minorHAnsi"/>
        </w:rPr>
        <w:t xml:space="preserve"> and then further optimised through PCR troubleshooting if needed</w:t>
      </w:r>
      <w:r w:rsidR="009C0936" w:rsidRPr="009C0936">
        <w:rPr>
          <w:rFonts w:cstheme="minorHAnsi"/>
        </w:rPr>
        <w:t>.</w:t>
      </w:r>
      <w:r w:rsidR="009C0936">
        <w:rPr>
          <w:rFonts w:cstheme="minorHAnsi"/>
        </w:rPr>
        <w:t xml:space="preserve"> </w:t>
      </w:r>
    </w:p>
    <w:p w14:paraId="6FFDE97E" w14:textId="77777777" w:rsidR="008963EA" w:rsidRDefault="008963EA" w:rsidP="009C0936">
      <w:pPr>
        <w:rPr>
          <w:rFonts w:cstheme="minorHAnsi"/>
        </w:rPr>
      </w:pPr>
    </w:p>
    <w:p w14:paraId="6A7A02FB" w14:textId="7268F373" w:rsidR="008963EA" w:rsidRDefault="00D900E8" w:rsidP="00D900E8">
      <w:pPr>
        <w:pStyle w:val="ListParagraph"/>
        <w:numPr>
          <w:ilvl w:val="1"/>
          <w:numId w:val="3"/>
        </w:numPr>
        <w:rPr>
          <w:rFonts w:cstheme="minorHAnsi"/>
        </w:rPr>
      </w:pPr>
      <w:r>
        <w:rPr>
          <w:rFonts w:cstheme="minorHAnsi"/>
        </w:rPr>
        <w:t xml:space="preserve"> </w:t>
      </w:r>
      <w:r w:rsidR="008963EA" w:rsidRPr="00D900E8">
        <w:rPr>
          <w:rFonts w:cstheme="minorHAnsi"/>
        </w:rPr>
        <w:t>Concentration</w:t>
      </w:r>
    </w:p>
    <w:p w14:paraId="0328C4B4" w14:textId="77777777" w:rsidR="00D900E8" w:rsidRPr="00D900E8" w:rsidRDefault="00D900E8" w:rsidP="00D900E8">
      <w:pPr>
        <w:rPr>
          <w:rFonts w:cstheme="minorHAnsi"/>
        </w:rPr>
      </w:pPr>
    </w:p>
    <w:p w14:paraId="315DB79D" w14:textId="3DA68D29" w:rsidR="008963EA" w:rsidRPr="008963EA" w:rsidRDefault="008963EA" w:rsidP="008963EA">
      <w:pPr>
        <w:rPr>
          <w:rFonts w:cstheme="minorHAnsi"/>
        </w:rPr>
      </w:pPr>
      <w:r>
        <w:rPr>
          <w:rFonts w:cstheme="minorHAnsi"/>
        </w:rPr>
        <w:t xml:space="preserve">Protein (IgG) and DNA (double stranded) concentrations were determined using a Nanodrop mini </w:t>
      </w:r>
      <w:r w:rsidR="00D900E8" w:rsidRPr="001316BA">
        <w:rPr>
          <w:rFonts w:cstheme="minorHAnsi"/>
          <w:highlight w:val="yellow"/>
        </w:rPr>
        <w:t>(manufacturer)</w:t>
      </w:r>
      <w:r w:rsidR="00D900E8">
        <w:rPr>
          <w:rFonts w:cstheme="minorHAnsi"/>
        </w:rPr>
        <w:t xml:space="preserve"> </w:t>
      </w:r>
      <w:r>
        <w:rPr>
          <w:rFonts w:cstheme="minorHAnsi"/>
        </w:rPr>
        <w:t xml:space="preserve">with relevant settings. </w:t>
      </w:r>
    </w:p>
    <w:p w14:paraId="7BA4298D" w14:textId="77777777" w:rsidR="00EA4334" w:rsidRDefault="00EA4334" w:rsidP="00EA4334"/>
    <w:p w14:paraId="43B5DF53" w14:textId="7F36D4A2" w:rsidR="00EA4334" w:rsidRDefault="00D900E8" w:rsidP="00EA4334">
      <w:pPr>
        <w:pStyle w:val="ListParagraph"/>
        <w:numPr>
          <w:ilvl w:val="0"/>
          <w:numId w:val="2"/>
        </w:numPr>
      </w:pPr>
      <w:r>
        <w:t>Data processing and figures</w:t>
      </w:r>
    </w:p>
    <w:p w14:paraId="6B7ABCE4" w14:textId="77777777" w:rsidR="00EA4334" w:rsidRDefault="00EA4334" w:rsidP="00EA4334"/>
    <w:p w14:paraId="08A00AAB" w14:textId="388E6229" w:rsidR="00D900E8" w:rsidRDefault="00D900E8" w:rsidP="008E4FDD">
      <w:r>
        <w:t xml:space="preserve">Processing the raw data was done primarily in Microsoft Excel, Python, R and </w:t>
      </w:r>
      <w:proofErr w:type="spellStart"/>
      <w:r>
        <w:t>Rstudio</w:t>
      </w:r>
      <w:proofErr w:type="spellEnd"/>
      <w:r>
        <w:t xml:space="preserve"> </w:t>
      </w:r>
      <w:r w:rsidRPr="00EA4334">
        <w:rPr>
          <w:rFonts w:cstheme="minorHAnsi"/>
          <w:highlight w:val="yellow"/>
        </w:rPr>
        <w:t>(ref, ref, ref</w:t>
      </w:r>
      <w:r>
        <w:rPr>
          <w:rFonts w:cstheme="minorHAnsi"/>
        </w:rPr>
        <w:t>)</w:t>
      </w:r>
    </w:p>
    <w:p w14:paraId="25F7B681" w14:textId="77777777" w:rsidR="00D900E8" w:rsidRDefault="00D900E8" w:rsidP="008E4FDD"/>
    <w:p w14:paraId="45DD7AA8" w14:textId="051ED96D" w:rsidR="00D900E8" w:rsidRDefault="00D900E8" w:rsidP="008E4FDD">
      <w:r>
        <w:t xml:space="preserve">Whenever microscope images required colour correction or enhancement, the pictures of control (and all other) conditions were edited at the same time as part of one whole figure to avoid bias. </w:t>
      </w:r>
    </w:p>
    <w:p w14:paraId="34D965F9" w14:textId="77777777" w:rsidR="00D900E8" w:rsidRDefault="00D900E8" w:rsidP="008E4FDD"/>
    <w:p w14:paraId="59B0AB43" w14:textId="26B9F600" w:rsidR="00D900E8" w:rsidRPr="00D900E8" w:rsidRDefault="00EA4334" w:rsidP="00D900E8">
      <w:pPr>
        <w:rPr>
          <w:rFonts w:cstheme="minorHAnsi"/>
        </w:rPr>
      </w:pPr>
      <w:r>
        <w:t xml:space="preserve">Figures and graphs were generated using Python, R and </w:t>
      </w:r>
      <w:proofErr w:type="spellStart"/>
      <w:r>
        <w:t>Rstudio</w:t>
      </w:r>
      <w:proofErr w:type="spellEnd"/>
      <w:r>
        <w:t xml:space="preserve"> , GraphPad Prizm</w:t>
      </w:r>
      <w:r w:rsidR="005E1C3B">
        <w:t xml:space="preserve"> 10</w:t>
      </w:r>
      <w:r>
        <w:t>,</w:t>
      </w:r>
      <w:r w:rsidR="00D900E8">
        <w:t xml:space="preserve"> as well as </w:t>
      </w:r>
      <w:r>
        <w:t xml:space="preserve">Biorender.com </w:t>
      </w:r>
      <w:r w:rsidRPr="00EA4334">
        <w:rPr>
          <w:rFonts w:cstheme="minorHAnsi"/>
          <w:highlight w:val="yellow"/>
        </w:rPr>
        <w:t xml:space="preserve">(ref, </w:t>
      </w:r>
      <w:r w:rsidR="00D900E8">
        <w:rPr>
          <w:rFonts w:cstheme="minorHAnsi"/>
          <w:highlight w:val="yellow"/>
        </w:rPr>
        <w:t xml:space="preserve">ref, </w:t>
      </w:r>
      <w:r w:rsidRPr="00EA4334">
        <w:rPr>
          <w:rFonts w:cstheme="minorHAnsi"/>
          <w:highlight w:val="yellow"/>
        </w:rPr>
        <w:t>ref).</w:t>
      </w:r>
    </w:p>
    <w:sectPr w:rsidR="00D900E8" w:rsidRPr="00D900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F28B4"/>
    <w:multiLevelType w:val="multilevel"/>
    <w:tmpl w:val="8890723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54B6DE0"/>
    <w:multiLevelType w:val="hybridMultilevel"/>
    <w:tmpl w:val="C6DEDB68"/>
    <w:lvl w:ilvl="0" w:tplc="02FCB784">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7F2D92"/>
    <w:multiLevelType w:val="hybridMultilevel"/>
    <w:tmpl w:val="DDAA77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8B7A79"/>
    <w:multiLevelType w:val="multilevel"/>
    <w:tmpl w:val="97F2969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FF60AA2"/>
    <w:multiLevelType w:val="multilevel"/>
    <w:tmpl w:val="8890723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47635CBA"/>
    <w:multiLevelType w:val="multilevel"/>
    <w:tmpl w:val="4022D4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4018262">
    <w:abstractNumId w:val="1"/>
  </w:num>
  <w:num w:numId="2" w16cid:durableId="710030405">
    <w:abstractNumId w:val="2"/>
  </w:num>
  <w:num w:numId="3" w16cid:durableId="1300763485">
    <w:abstractNumId w:val="0"/>
  </w:num>
  <w:num w:numId="4" w16cid:durableId="1299725645">
    <w:abstractNumId w:val="5"/>
  </w:num>
  <w:num w:numId="5" w16cid:durableId="1109201087">
    <w:abstractNumId w:val="3"/>
  </w:num>
  <w:num w:numId="6" w16cid:durableId="3341151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78B"/>
    <w:rsid w:val="001268A0"/>
    <w:rsid w:val="00183075"/>
    <w:rsid w:val="001C3850"/>
    <w:rsid w:val="003D59E9"/>
    <w:rsid w:val="005A10A6"/>
    <w:rsid w:val="005E1C3B"/>
    <w:rsid w:val="008117FA"/>
    <w:rsid w:val="008963EA"/>
    <w:rsid w:val="008E4FDD"/>
    <w:rsid w:val="00962775"/>
    <w:rsid w:val="00967B71"/>
    <w:rsid w:val="009C0936"/>
    <w:rsid w:val="00A834DD"/>
    <w:rsid w:val="00AE422B"/>
    <w:rsid w:val="00C84ED3"/>
    <w:rsid w:val="00C9378B"/>
    <w:rsid w:val="00CE5FC5"/>
    <w:rsid w:val="00D0149F"/>
    <w:rsid w:val="00D900E8"/>
    <w:rsid w:val="00E01679"/>
    <w:rsid w:val="00E14A89"/>
    <w:rsid w:val="00EA433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1D270A1"/>
  <w15:chartTrackingRefBased/>
  <w15:docId w15:val="{1493F8E4-1772-BA4D-A405-95FB32C6E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78B"/>
    <w:pPr>
      <w:ind w:left="720"/>
      <w:contextualSpacing/>
    </w:pPr>
  </w:style>
  <w:style w:type="paragraph" w:styleId="Date">
    <w:name w:val="Date"/>
    <w:basedOn w:val="Normal"/>
    <w:next w:val="Normal"/>
    <w:link w:val="DateChar"/>
    <w:uiPriority w:val="99"/>
    <w:semiHidden/>
    <w:unhideWhenUsed/>
    <w:rsid w:val="00EA4334"/>
  </w:style>
  <w:style w:type="character" w:customStyle="1" w:styleId="DateChar">
    <w:name w:val="Date Char"/>
    <w:basedOn w:val="DefaultParagraphFont"/>
    <w:link w:val="Date"/>
    <w:uiPriority w:val="99"/>
    <w:semiHidden/>
    <w:rsid w:val="00EA4334"/>
  </w:style>
  <w:style w:type="character" w:styleId="Hyperlink">
    <w:name w:val="Hyperlink"/>
    <w:basedOn w:val="DefaultParagraphFont"/>
    <w:uiPriority w:val="99"/>
    <w:unhideWhenUsed/>
    <w:rsid w:val="00EA4334"/>
    <w:rPr>
      <w:color w:val="0563C1" w:themeColor="hyperlink"/>
      <w:u w:val="single"/>
    </w:rPr>
  </w:style>
  <w:style w:type="character" w:styleId="UnresolvedMention">
    <w:name w:val="Unresolved Mention"/>
    <w:basedOn w:val="DefaultParagraphFont"/>
    <w:uiPriority w:val="99"/>
    <w:semiHidden/>
    <w:unhideWhenUsed/>
    <w:rsid w:val="009C09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ioinformatics.nl/cgi-bin/primer3plus/primer3plus.cgi" TargetMode="External"/><Relationship Id="rId5" Type="http://schemas.openxmlformats.org/officeDocument/2006/relationships/hyperlink" Target="http://www.ncbi.nlm.nih.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5</Pages>
  <Words>1721</Words>
  <Characters>9815</Characters>
  <Application>Microsoft Office Word</Application>
  <DocSecurity>0</DocSecurity>
  <Lines>81</Lines>
  <Paragraphs>23</Paragraphs>
  <ScaleCrop>false</ScaleCrop>
  <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Lankina, Anastasia</dc:creator>
  <cp:keywords/>
  <dc:description/>
  <cp:lastModifiedBy>Lankina, Anastasia</cp:lastModifiedBy>
  <cp:revision>11</cp:revision>
  <dcterms:created xsi:type="dcterms:W3CDTF">2024-02-29T09:28:00Z</dcterms:created>
  <dcterms:modified xsi:type="dcterms:W3CDTF">2024-03-11T16:21:00Z</dcterms:modified>
</cp:coreProperties>
</file>