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14A89" w:rsidRDefault="00C9378B" w14:paraId="1AE5D54F" w14:textId="0B60EFCC">
      <w:r>
        <w:t>AD</w:t>
      </w:r>
      <w:r w:rsidR="001268A0">
        <w:t>6</w:t>
      </w:r>
      <w:r>
        <w:t xml:space="preserve"> </w:t>
      </w:r>
      <w:r w:rsidR="00A834DD">
        <w:t>Results</w:t>
      </w:r>
    </w:p>
    <w:p w:rsidR="00C9378B" w:rsidRDefault="00C9378B" w14:paraId="26228338" w14:textId="77777777"/>
    <w:p w:rsidR="00C84ED3" w:rsidP="00800605" w:rsidRDefault="00800605" w14:paraId="60878EF5" w14:textId="5DB87F75" w14:noSpellErr="1">
      <w:pPr>
        <w:pStyle w:val="ListParagraph"/>
        <w:numPr>
          <w:ilvl w:val="0"/>
          <w:numId w:val="2"/>
        </w:numPr>
        <w:rPr/>
      </w:pPr>
      <w:r w:rsidR="00800605">
        <w:rPr/>
        <w:t>In silico</w:t>
      </w:r>
    </w:p>
    <w:p w:rsidR="678E2B26" w:rsidP="678E2B26" w:rsidRDefault="678E2B26" w14:paraId="124C7C04" w14:textId="15CFB8A2">
      <w:pPr>
        <w:pStyle w:val="Normal"/>
        <w:ind w:left="0"/>
      </w:pPr>
    </w:p>
    <w:p w:rsidR="5B4A111E" w:rsidP="678E2B26" w:rsidRDefault="5B4A111E" w14:paraId="6E122857" w14:textId="3B80435C">
      <w:pPr>
        <w:pStyle w:val="Normal"/>
        <w:ind w:left="0"/>
      </w:pPr>
      <w:r w:rsidR="5B4A111E">
        <w:rPr/>
        <w:t xml:space="preserve">1.1 Sequence analysis and conservation </w:t>
      </w:r>
    </w:p>
    <w:p w:rsidR="678E2B26" w:rsidP="678E2B26" w:rsidRDefault="678E2B26" w14:paraId="12DD143C" w14:textId="30932363">
      <w:pPr>
        <w:pStyle w:val="Normal"/>
        <w:ind w:left="0"/>
      </w:pPr>
    </w:p>
    <w:p w:rsidR="678E2B26" w:rsidP="678E2B26" w:rsidRDefault="678E2B26" w14:paraId="44EE5B2B" w14:textId="36779C2C">
      <w:pPr>
        <w:pStyle w:val="Normal"/>
        <w:ind w:left="0"/>
      </w:pPr>
    </w:p>
    <w:p w:rsidR="0D816068" w:rsidP="678E2B26" w:rsidRDefault="0D816068" w14:paraId="57DE2341" w14:textId="76E0961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0D816068">
        <w:rPr/>
        <w:t>Fig X</w:t>
      </w:r>
      <w:r w:rsidR="5D3C697A">
        <w:rPr/>
        <w:t>a</w:t>
      </w:r>
      <w:r w:rsidR="4548B08B">
        <w:rPr/>
        <w:t xml:space="preserve"> </w:t>
      </w:r>
      <w:r w:rsidR="0D816068">
        <w:rPr/>
        <w:t xml:space="preserve">is showing the multiple sequence alignment of several glycoprotein B sequences from 4 animal CMVs and </w:t>
      </w:r>
      <w:r w:rsidR="73A4CB1C">
        <w:rPr/>
        <w:t>one HCMV</w:t>
      </w:r>
      <w:r w:rsidR="0D816068">
        <w:rPr/>
        <w:t>.</w:t>
      </w:r>
      <w:r w:rsidR="55B4B3FC">
        <w:rPr/>
        <w:t xml:space="preserve"> </w:t>
      </w:r>
      <w:r w:rsidR="790DC9E5">
        <w:rPr/>
        <w:t xml:space="preserve">While the whole alignment is </w:t>
      </w:r>
      <w:r w:rsidR="790DC9E5">
        <w:rPr/>
        <w:t>fairly heterogeneous</w:t>
      </w:r>
      <w:r w:rsidR="790DC9E5">
        <w:rPr/>
        <w:t xml:space="preserve">, the region where AD-6 is </w:t>
      </w:r>
      <w:r w:rsidR="790DC9E5">
        <w:rPr/>
        <w:t>located</w:t>
      </w:r>
      <w:r w:rsidR="790DC9E5">
        <w:rPr/>
        <w:t xml:space="preserve"> is one of the few spots with clear similarity</w:t>
      </w:r>
      <w:r w:rsidR="3EFA9BA3">
        <w:rPr/>
        <w:t>. The same BLAH can be deduced from comparing the phylogenetic trees of glycoprotein B sequences and</w:t>
      </w:r>
      <w:r w:rsidR="7AF87482">
        <w:rPr/>
        <w:t xml:space="preserve"> just the</w:t>
      </w:r>
      <w:r w:rsidR="3EFA9BA3">
        <w:rPr/>
        <w:t xml:space="preserve"> </w:t>
      </w:r>
      <w:r w:rsidR="3EFA9BA3">
        <w:rPr/>
        <w:t xml:space="preserve">AD-6 </w:t>
      </w:r>
      <w:r w:rsidR="60581E8D">
        <w:rPr/>
        <w:t xml:space="preserve">segment </w:t>
      </w:r>
      <w:r w:rsidRPr="678E2B26" w:rsidR="3EFA9BA3">
        <w:rPr>
          <w:highlight w:val="yellow"/>
        </w:rPr>
        <w:t>[make the trees!!!! On the same scale</w:t>
      </w:r>
      <w:r w:rsidRPr="678E2B26" w:rsidR="3EFA9BA3">
        <w:rPr>
          <w:highlight w:val="yellow"/>
        </w:rPr>
        <w:t>]</w:t>
      </w:r>
      <w:r w:rsidR="3EFA9BA3">
        <w:rPr/>
        <w:t xml:space="preserve"> </w:t>
      </w:r>
      <w:r w:rsidR="790DC9E5">
        <w:rPr/>
        <w:t>.</w:t>
      </w:r>
      <w:r w:rsidR="790DC9E5">
        <w:rPr/>
        <w:t xml:space="preserve"> As expected</w:t>
      </w:r>
      <w:r w:rsidR="03A0E8BA">
        <w:rPr/>
        <w:t xml:space="preserve">, there is a high sequence </w:t>
      </w:r>
      <w:r w:rsidR="03A0E8BA">
        <w:rPr/>
        <w:t>similariy</w:t>
      </w:r>
      <w:r w:rsidR="03A0E8BA">
        <w:rPr/>
        <w:t xml:space="preserve"> when aligned with the sequences from same virus</w:t>
      </w:r>
      <w:r w:rsidR="352667AF">
        <w:rPr/>
        <w:t xml:space="preserve"> (Fig </w:t>
      </w:r>
      <w:r w:rsidR="352667AF">
        <w:rPr/>
        <w:t>X</w:t>
      </w:r>
      <w:r w:rsidR="6D49DA18">
        <w:rPr/>
        <w:t>b</w:t>
      </w:r>
      <w:r w:rsidR="352667AF">
        <w:rPr/>
        <w:t xml:space="preserve">). </w:t>
      </w:r>
    </w:p>
    <w:p w:rsidR="678E2B26" w:rsidP="678E2B26" w:rsidRDefault="678E2B26" w14:paraId="28BEE387" w14:textId="777C3D5B">
      <w:pPr>
        <w:pStyle w:val="Normal"/>
        <w:ind w:left="0"/>
      </w:pPr>
    </w:p>
    <w:p w:rsidR="5B4A111E" w:rsidP="678E2B26" w:rsidRDefault="5B4A111E" w14:paraId="462A24FE" w14:textId="5336D189">
      <w:pPr>
        <w:pStyle w:val="Normal"/>
        <w:ind w:left="0"/>
      </w:pPr>
      <w:r w:rsidR="5B4A111E">
        <w:rPr/>
        <w:t>[</w:t>
      </w:r>
      <w:r w:rsidR="5B4A111E">
        <w:rPr/>
        <w:t>seq</w:t>
      </w:r>
      <w:r w:rsidR="5B4A111E">
        <w:rPr/>
        <w:t xml:space="preserve"> figure + </w:t>
      </w:r>
      <w:r w:rsidR="5B4A111E">
        <w:rPr/>
        <w:t>Phylo</w:t>
      </w:r>
      <w:r w:rsidR="5B4A111E">
        <w:rPr/>
        <w:t xml:space="preserve"> tree]</w:t>
      </w:r>
    </w:p>
    <w:p w:rsidR="678E2B26" w:rsidP="678E2B26" w:rsidRDefault="678E2B26" w14:paraId="2DDB00E2" w14:textId="538F1D25">
      <w:pPr>
        <w:pStyle w:val="Normal"/>
        <w:ind w:left="0"/>
      </w:pPr>
    </w:p>
    <w:p w:rsidR="2C576978" w:rsidP="678E2B26" w:rsidRDefault="2C576978" w14:paraId="16FD9693" w14:textId="150FA391">
      <w:pPr>
        <w:pStyle w:val="Normal"/>
        <w:ind w:left="0"/>
      </w:pPr>
      <w:r w:rsidR="2C576978">
        <w:rPr/>
        <w:t>And THEN put  them on structure – all similar</w:t>
      </w:r>
    </w:p>
    <w:p w:rsidR="678E2B26" w:rsidP="678E2B26" w:rsidRDefault="678E2B26" w14:paraId="2EB404DF" w14:textId="7E48BFEF">
      <w:pPr>
        <w:pStyle w:val="Normal"/>
        <w:ind w:left="0"/>
      </w:pPr>
    </w:p>
    <w:p w:rsidR="7A78E128" w:rsidP="678E2B26" w:rsidRDefault="7A78E128" w14:paraId="1332B661" w14:textId="2286A16E">
      <w:pPr>
        <w:pStyle w:val="Normal"/>
        <w:ind w:left="0"/>
      </w:pPr>
      <w:r w:rsidR="7A78E128">
        <w:drawing>
          <wp:inline wp14:editId="6B4FE670" wp14:anchorId="2EEBEA76">
            <wp:extent cx="5724524" cy="2295525"/>
            <wp:effectExtent l="0" t="0" r="0" b="0"/>
            <wp:docPr id="1733697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c1f2399fb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E2B26" w:rsidP="678E2B26" w:rsidRDefault="678E2B26" w14:paraId="4E0285D0" w14:textId="73C48C57">
      <w:pPr>
        <w:pStyle w:val="Normal"/>
        <w:ind w:left="0"/>
      </w:pPr>
    </w:p>
    <w:p w:rsidR="5B4A111E" w:rsidP="678E2B26" w:rsidRDefault="5B4A111E" w14:paraId="61A12404" w14:textId="69F1A6BF">
      <w:pPr>
        <w:pStyle w:val="Normal"/>
        <w:ind w:left="0"/>
      </w:pPr>
      <w:r w:rsidR="5B4A111E">
        <w:rPr/>
        <w:t xml:space="preserve">1.2 Structural conservation – figure </w:t>
      </w:r>
    </w:p>
    <w:p w:rsidR="678E2B26" w:rsidP="678E2B26" w:rsidRDefault="678E2B26" w14:paraId="00C51F99" w14:textId="1AD7FF2E">
      <w:pPr>
        <w:pStyle w:val="Normal"/>
        <w:ind w:left="0"/>
      </w:pPr>
    </w:p>
    <w:p w:rsidR="41FA2D4E" w:rsidP="678E2B26" w:rsidRDefault="41FA2D4E" w14:paraId="2A56AC88" w14:textId="0FE69B8B">
      <w:pPr>
        <w:pStyle w:val="Normal"/>
        <w:ind w:left="0"/>
      </w:pPr>
      <w:r w:rsidR="41FA2D4E">
        <w:rPr/>
        <w:t xml:space="preserve">While the direct sequence alignment worked with </w:t>
      </w:r>
      <w:r w:rsidR="41FA2D4E">
        <w:rPr/>
        <w:t>hman</w:t>
      </w:r>
      <w:r w:rsidR="41FA2D4E">
        <w:rPr/>
        <w:t xml:space="preserve"> and animal CMV sequences, I have come across an issue of </w:t>
      </w:r>
      <w:r w:rsidR="41FA2D4E">
        <w:rPr/>
        <w:t>gB</w:t>
      </w:r>
      <w:r w:rsidR="41FA2D4E">
        <w:rPr/>
        <w:t xml:space="preserve"> sequences from other herpesviruses being too heterogeneous.</w:t>
      </w:r>
      <w:r w:rsidR="15A42E41">
        <w:rPr/>
        <w:t xml:space="preserve"> Many methods </w:t>
      </w:r>
      <w:r w:rsidRPr="678E2B26" w:rsidR="15A42E41">
        <w:rPr>
          <w:highlight w:val="yellow"/>
        </w:rPr>
        <w:t>[ref?????]</w:t>
      </w:r>
      <w:r w:rsidR="15A42E41">
        <w:rPr/>
        <w:t xml:space="preserve"> recommend the lowest possible level of sequence similarity being 40% for a sensible alignment. </w:t>
      </w:r>
      <w:r w:rsidR="4C6861C3">
        <w:rPr/>
        <w:t>T</w:t>
      </w:r>
      <w:r w:rsidRPr="678E2B26" w:rsidR="4C6861C3">
        <w:rPr>
          <w:highlight w:val="yellow"/>
        </w:rPr>
        <w:t xml:space="preserve">able </w:t>
      </w:r>
      <w:r w:rsidRPr="678E2B26" w:rsidR="4C6861C3">
        <w:rPr>
          <w:highlight w:val="yellow"/>
        </w:rPr>
        <w:t xml:space="preserve">Y </w:t>
      </w:r>
      <w:r w:rsidR="4C6861C3">
        <w:rPr/>
        <w:t xml:space="preserve"> outlines</w:t>
      </w:r>
      <w:r w:rsidR="4C6861C3">
        <w:rPr/>
        <w:t xml:space="preserve"> residue similarity among HHV </w:t>
      </w:r>
      <w:r w:rsidR="4C6861C3">
        <w:rPr/>
        <w:t>gB</w:t>
      </w:r>
      <w:r w:rsidR="4C6861C3">
        <w:rPr/>
        <w:t xml:space="preserve"> sequences </w:t>
      </w:r>
    </w:p>
    <w:p w:rsidR="678E2B26" w:rsidP="678E2B26" w:rsidRDefault="678E2B26" w14:paraId="5449A948" w14:textId="55EC0509">
      <w:pPr>
        <w:pStyle w:val="Normal"/>
        <w:ind w:left="0"/>
      </w:pPr>
    </w:p>
    <w:p w:rsidR="4C6861C3" w:rsidP="678E2B26" w:rsidRDefault="4C6861C3" w14:paraId="6D44BD3E" w14:textId="393E8C36">
      <w:pPr>
        <w:pStyle w:val="Normal"/>
        <w:ind w:left="0"/>
      </w:pPr>
      <w:r w:rsidR="4C6861C3">
        <w:rPr/>
        <w:t xml:space="preserve">[make the sequence similarity </w:t>
      </w:r>
      <w:r w:rsidR="4C6861C3">
        <w:rPr/>
        <w:t>somparisons</w:t>
      </w:r>
      <w:r w:rsidR="4C6861C3">
        <w:rPr/>
        <w:t xml:space="preserve"> – how? Blast? Write your own code</w:t>
      </w:r>
      <w:r w:rsidR="4C6861C3">
        <w:rPr/>
        <w:t>?? ]</w:t>
      </w:r>
      <w:r w:rsidR="4C6861C3">
        <w:rPr/>
        <w:t xml:space="preserve">      </w:t>
      </w:r>
      <w:r w:rsidR="6F729AC1">
        <w:rPr/>
        <w:t xml:space="preserve">BLAST p-p – spend a few days working on this. </w:t>
      </w:r>
    </w:p>
    <w:p w:rsidR="678E2B26" w:rsidP="678E2B26" w:rsidRDefault="678E2B26" w14:paraId="3125C46C" w14:textId="2C5F317E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78E2B26" w:rsidTr="678E2B26" w14:paraId="33D3C771">
        <w:trPr>
          <w:trHeight w:val="300"/>
        </w:trPr>
        <w:tc>
          <w:tcPr>
            <w:tcW w:w="2254" w:type="dxa"/>
            <w:shd w:val="clear" w:color="auto" w:fill="1E8BCD"/>
            <w:tcMar/>
          </w:tcPr>
          <w:p w:rsidR="678E2B26" w:rsidP="678E2B26" w:rsidRDefault="678E2B26" w14:paraId="17BCCE5A" w14:textId="7F0A5F9D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0C150679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3FF9626E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747C3657" w14:textId="68F02E57">
            <w:pPr>
              <w:pStyle w:val="Normal"/>
            </w:pPr>
          </w:p>
        </w:tc>
      </w:tr>
      <w:tr w:rsidR="678E2B26" w:rsidTr="678E2B26" w14:paraId="478EA2BB">
        <w:trPr>
          <w:trHeight w:val="300"/>
        </w:trPr>
        <w:tc>
          <w:tcPr>
            <w:tcW w:w="2254" w:type="dxa"/>
            <w:tcMar/>
          </w:tcPr>
          <w:p w:rsidR="678E2B26" w:rsidP="678E2B26" w:rsidRDefault="678E2B26" w14:paraId="43AD3D10" w14:textId="68F02E57">
            <w:pPr>
              <w:pStyle w:val="Normal"/>
            </w:pPr>
          </w:p>
        </w:tc>
        <w:tc>
          <w:tcPr>
            <w:tcW w:w="2254" w:type="dxa"/>
            <w:shd w:val="clear" w:color="auto" w:fill="1E8BCD"/>
            <w:tcMar/>
          </w:tcPr>
          <w:p w:rsidR="678E2B26" w:rsidP="678E2B26" w:rsidRDefault="678E2B26" w14:paraId="44D589E6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05B52506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6CB0D75B" w14:textId="68F02E57">
            <w:pPr>
              <w:pStyle w:val="Normal"/>
            </w:pPr>
          </w:p>
        </w:tc>
      </w:tr>
      <w:tr w:rsidR="678E2B26" w:rsidTr="678E2B26" w14:paraId="1D4316D3">
        <w:trPr>
          <w:trHeight w:val="300"/>
        </w:trPr>
        <w:tc>
          <w:tcPr>
            <w:tcW w:w="2254" w:type="dxa"/>
            <w:tcMar/>
          </w:tcPr>
          <w:p w:rsidR="678E2B26" w:rsidP="678E2B26" w:rsidRDefault="678E2B26" w14:paraId="2A07E486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795CF67F" w14:textId="68F02E57">
            <w:pPr>
              <w:pStyle w:val="Normal"/>
            </w:pPr>
          </w:p>
        </w:tc>
        <w:tc>
          <w:tcPr>
            <w:tcW w:w="2254" w:type="dxa"/>
            <w:shd w:val="clear" w:color="auto" w:fill="1E8BCD"/>
            <w:tcMar/>
          </w:tcPr>
          <w:p w:rsidR="678E2B26" w:rsidP="678E2B26" w:rsidRDefault="678E2B26" w14:paraId="0BCDF3B2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1D030DDF" w14:textId="68F02E57">
            <w:pPr>
              <w:pStyle w:val="Normal"/>
            </w:pPr>
          </w:p>
        </w:tc>
      </w:tr>
      <w:tr w:rsidR="678E2B26" w:rsidTr="678E2B26" w14:paraId="2657F8F9">
        <w:trPr>
          <w:trHeight w:val="300"/>
        </w:trPr>
        <w:tc>
          <w:tcPr>
            <w:tcW w:w="2254" w:type="dxa"/>
            <w:tcMar/>
          </w:tcPr>
          <w:p w:rsidR="678E2B26" w:rsidP="678E2B26" w:rsidRDefault="678E2B26" w14:paraId="5A104E9A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11EDB5AE" w14:textId="68F02E57">
            <w:pPr>
              <w:pStyle w:val="Normal"/>
            </w:pPr>
          </w:p>
        </w:tc>
        <w:tc>
          <w:tcPr>
            <w:tcW w:w="2254" w:type="dxa"/>
            <w:tcMar/>
          </w:tcPr>
          <w:p w:rsidR="678E2B26" w:rsidP="678E2B26" w:rsidRDefault="678E2B26" w14:paraId="5D3D952D" w14:textId="68F02E57">
            <w:pPr>
              <w:pStyle w:val="Normal"/>
            </w:pPr>
          </w:p>
        </w:tc>
        <w:tc>
          <w:tcPr>
            <w:tcW w:w="2254" w:type="dxa"/>
            <w:shd w:val="clear" w:color="auto" w:fill="1E8BCD"/>
            <w:tcMar/>
          </w:tcPr>
          <w:p w:rsidR="678E2B26" w:rsidP="678E2B26" w:rsidRDefault="678E2B26" w14:paraId="4C363502" w14:textId="68F02E57">
            <w:pPr>
              <w:pStyle w:val="Normal"/>
            </w:pPr>
          </w:p>
        </w:tc>
      </w:tr>
    </w:tbl>
    <w:p w:rsidR="678E2B26" w:rsidP="678E2B26" w:rsidRDefault="678E2B26" w14:paraId="30559FF8" w14:textId="548BA5F6">
      <w:pPr>
        <w:pStyle w:val="Normal"/>
        <w:ind w:left="0"/>
      </w:pPr>
    </w:p>
    <w:p w:rsidR="0B9969E4" w:rsidP="678E2B26" w:rsidRDefault="0B9969E4" w14:paraId="11F5552C" w14:textId="0548799C">
      <w:pPr>
        <w:pStyle w:val="Normal"/>
        <w:ind w:left="0"/>
      </w:pPr>
      <w:r w:rsidR="0B9969E4">
        <w:rPr/>
        <w:t xml:space="preserve">Thus, </w:t>
      </w:r>
      <w:r w:rsidR="499E2888">
        <w:rPr/>
        <w:t xml:space="preserve">an approach not relying on sequence similarity </w:t>
      </w:r>
      <w:r w:rsidR="0B9969E4">
        <w:rPr/>
        <w:t>was needed.</w:t>
      </w:r>
      <w:r w:rsidR="460C928D">
        <w:rPr/>
        <w:t xml:space="preserve"> I instead </w:t>
      </w:r>
      <w:r w:rsidR="6B9C8B3F">
        <w:rPr/>
        <w:t xml:space="preserve">mirrored the previously </w:t>
      </w:r>
      <w:r w:rsidR="6B9C8B3F">
        <w:rPr/>
        <w:t>analsyis</w:t>
      </w:r>
      <w:r w:rsidR="6B9C8B3F">
        <w:rPr/>
        <w:t xml:space="preserve"> in reverse, first starting with the structural similarity of </w:t>
      </w:r>
      <w:r w:rsidR="6B9C8B3F">
        <w:rPr/>
        <w:t>gB</w:t>
      </w:r>
      <w:r w:rsidR="6B9C8B3F">
        <w:rPr/>
        <w:t xml:space="preserve">. </w:t>
      </w:r>
      <w:r w:rsidR="3CBFCC1D">
        <w:rPr/>
        <w:t>Figure X describes the identification of AD-6 analogues from aligning published PDB structures</w:t>
      </w:r>
      <w:r w:rsidR="5456A74B">
        <w:rPr/>
        <w:t xml:space="preserve"> of 4 HHV</w:t>
      </w:r>
      <w:r w:rsidR="3CBFCC1D">
        <w:rPr/>
        <w:t>. Moreover</w:t>
      </w:r>
      <w:r w:rsidR="53383AE6">
        <w:rPr/>
        <w:t xml:space="preserve">, a curious pattern </w:t>
      </w:r>
      <w:r w:rsidR="53383AE6">
        <w:rPr/>
        <w:t>emerged</w:t>
      </w:r>
      <w:r w:rsidR="53383AE6">
        <w:rPr/>
        <w:t xml:space="preserve"> once the </w:t>
      </w:r>
      <w:r w:rsidR="165CA56A">
        <w:rPr/>
        <w:t xml:space="preserve">AD-6 and its </w:t>
      </w:r>
      <w:r w:rsidR="53383AE6">
        <w:rPr/>
        <w:t>analogues</w:t>
      </w:r>
      <w:r w:rsidR="6DBE137F">
        <w:rPr/>
        <w:t xml:space="preserve">’ sequences </w:t>
      </w:r>
      <w:r w:rsidR="53383AE6">
        <w:rPr/>
        <w:t>aligned</w:t>
      </w:r>
      <w:r w:rsidR="388A9102">
        <w:rPr/>
        <w:t xml:space="preserve">. Although the overall sequence conservation was </w:t>
      </w:r>
      <w:r w:rsidR="388A9102">
        <w:rPr/>
        <w:t>consitently</w:t>
      </w:r>
      <w:r w:rsidR="388A9102">
        <w:rPr/>
        <w:t xml:space="preserve"> poor, </w:t>
      </w:r>
      <w:r w:rsidR="388A9102">
        <w:rPr/>
        <w:t>a pattern of a repeating same or similar amino aci</w:t>
      </w:r>
      <w:r w:rsidR="62D1FD17">
        <w:rPr/>
        <w:t>d at a regular interval of 3 or 4 residues</w:t>
      </w:r>
      <w:r w:rsidR="422C2BDB">
        <w:rPr/>
        <w:t xml:space="preserve"> was noted</w:t>
      </w:r>
      <w:r w:rsidR="62D1FD17">
        <w:rPr/>
        <w:t xml:space="preserve">, </w:t>
      </w:r>
      <w:r w:rsidR="62D1FD17">
        <w:rPr/>
        <w:t>concocr</w:t>
      </w:r>
      <w:r w:rsidR="0A8BC89F">
        <w:rPr/>
        <w:t>d</w:t>
      </w:r>
      <w:r w:rsidR="62D1FD17">
        <w:rPr/>
        <w:t>ant</w:t>
      </w:r>
      <w:r w:rsidR="62D1FD17">
        <w:rPr/>
        <w:t xml:space="preserve"> with a step of an alpha-helical curve (</w:t>
      </w:r>
      <w:r w:rsidRPr="678E2B26" w:rsidR="62D1FD17">
        <w:rPr>
          <w:highlight w:val="yellow"/>
        </w:rPr>
        <w:t>ref</w:t>
      </w:r>
      <w:r w:rsidR="62D1FD17">
        <w:rPr/>
        <w:t xml:space="preserve">). </w:t>
      </w:r>
      <w:r w:rsidR="6F59AB38">
        <w:rPr/>
        <w:t>T</w:t>
      </w:r>
      <w:r w:rsidR="62D1FD17">
        <w:rPr/>
        <w:t>hus</w:t>
      </w:r>
      <w:r w:rsidR="62D1FD17">
        <w:rPr/>
        <w:t xml:space="preserve"> </w:t>
      </w:r>
      <w:r w:rsidR="3F8F4BDF">
        <w:rPr/>
        <w:t>there was</w:t>
      </w:r>
      <w:r w:rsidR="62D1FD17">
        <w:rPr/>
        <w:t xml:space="preserve"> a </w:t>
      </w:r>
      <w:r w:rsidR="62D1FD17">
        <w:rPr/>
        <w:t>possiblilty</w:t>
      </w:r>
      <w:r w:rsidR="62D1FD17">
        <w:rPr/>
        <w:t xml:space="preserve"> of a c</w:t>
      </w:r>
      <w:r w:rsidR="579CBB5C">
        <w:rPr/>
        <w:t xml:space="preserve">onserved conformational epitope (fig X d) where matching amino acids would be presented in a </w:t>
      </w:r>
      <w:r w:rsidR="579CBB5C">
        <w:rPr/>
        <w:t>simliar</w:t>
      </w:r>
      <w:r w:rsidR="579CBB5C">
        <w:rPr/>
        <w:t xml:space="preserve"> way on the same side of </w:t>
      </w:r>
      <w:r w:rsidR="53A8F76A">
        <w:rPr/>
        <w:t xml:space="preserve">the alpha-helix. </w:t>
      </w:r>
      <w:r w:rsidRPr="678E2B26" w:rsidR="53A8F76A">
        <w:rPr>
          <w:highlight w:val="green"/>
        </w:rPr>
        <w:t xml:space="preserve">However, as the protein structure in vivo is not rigid and AD-6 undergoes a variety of conformational changes, the latter </w:t>
      </w:r>
      <w:r w:rsidRPr="678E2B26" w:rsidR="7C83B04F">
        <w:rPr>
          <w:highlight w:val="green"/>
        </w:rPr>
        <w:t xml:space="preserve">can </w:t>
      </w:r>
      <w:r w:rsidRPr="678E2B26" w:rsidR="53A8F76A">
        <w:rPr>
          <w:highlight w:val="green"/>
        </w:rPr>
        <w:t>not</w:t>
      </w:r>
      <w:r w:rsidRPr="678E2B26" w:rsidR="53A8F76A">
        <w:rPr>
          <w:highlight w:val="green"/>
        </w:rPr>
        <w:t xml:space="preserve"> be </w:t>
      </w:r>
      <w:r w:rsidRPr="678E2B26" w:rsidR="39D597AA">
        <w:rPr>
          <w:highlight w:val="green"/>
        </w:rPr>
        <w:t xml:space="preserve">valued as a definitive proof of epitope conservation. </w:t>
      </w:r>
      <w:r w:rsidRPr="678E2B26" w:rsidR="37B58C02">
        <w:rPr>
          <w:highlight w:val="green"/>
        </w:rPr>
        <w:t xml:space="preserve">(then do </w:t>
      </w:r>
      <w:r w:rsidRPr="678E2B26" w:rsidR="37B58C02">
        <w:rPr>
          <w:highlight w:val="green"/>
        </w:rPr>
        <w:t>i</w:t>
      </w:r>
      <w:r w:rsidRPr="678E2B26" w:rsidR="37B58C02">
        <w:rPr>
          <w:highlight w:val="green"/>
        </w:rPr>
        <w:t xml:space="preserve"> even need to include it rly</w:t>
      </w:r>
      <w:r w:rsidRPr="678E2B26" w:rsidR="37B58C02">
        <w:rPr>
          <w:highlight w:val="green"/>
        </w:rPr>
        <w:t>?? )</w:t>
      </w:r>
    </w:p>
    <w:p w:rsidR="678E2B26" w:rsidP="678E2B26" w:rsidRDefault="678E2B26" w14:paraId="17517F93" w14:textId="5063AC21">
      <w:pPr>
        <w:pStyle w:val="Normal"/>
        <w:ind w:left="0"/>
      </w:pPr>
    </w:p>
    <w:p w:rsidR="50F517FA" w:rsidP="678E2B26" w:rsidRDefault="50F517FA" w14:paraId="4C972144" w14:textId="1B577852">
      <w:pPr>
        <w:pStyle w:val="Normal"/>
        <w:ind w:left="0"/>
        <w:rPr>
          <w:highlight w:val="yellow"/>
        </w:rPr>
      </w:pPr>
      <w:r w:rsidRPr="678E2B26" w:rsidR="50F517FA">
        <w:rPr>
          <w:highlight w:val="yellow"/>
        </w:rPr>
        <w:t xml:space="preserve">[remove self-alignment in here – </w:t>
      </w:r>
      <w:r w:rsidRPr="678E2B26" w:rsidR="50F517FA">
        <w:rPr>
          <w:highlight w:val="yellow"/>
        </w:rPr>
        <w:t>that'll</w:t>
      </w:r>
      <w:r w:rsidRPr="678E2B26" w:rsidR="50F517FA">
        <w:rPr>
          <w:highlight w:val="yellow"/>
        </w:rPr>
        <w:t xml:space="preserve"> be in the table earlier ]</w:t>
      </w:r>
    </w:p>
    <w:p w:rsidR="07DB84F6" w:rsidP="678E2B26" w:rsidRDefault="07DB84F6" w14:paraId="78E987DB" w14:textId="0BAA2FE3">
      <w:pPr>
        <w:pStyle w:val="Normal"/>
        <w:ind w:left="0"/>
      </w:pPr>
      <w:r w:rsidR="07DB84F6">
        <w:drawing>
          <wp:inline wp14:editId="62F5843B" wp14:anchorId="32031796">
            <wp:extent cx="5724524" cy="2247900"/>
            <wp:effectExtent l="0" t="0" r="0" b="0"/>
            <wp:docPr id="1215288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f9b6999d1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E2B26" w:rsidP="678E2B26" w:rsidRDefault="678E2B26" w14:paraId="028D7F96" w14:textId="7E680F96">
      <w:pPr>
        <w:pStyle w:val="Normal"/>
        <w:ind w:left="0"/>
      </w:pPr>
    </w:p>
    <w:p w:rsidR="6F1ED86E" w:rsidP="678E2B26" w:rsidRDefault="6F1ED86E" w14:paraId="00D70F2B" w14:textId="12DE9125">
      <w:pPr>
        <w:pStyle w:val="Normal"/>
        <w:ind w:left="0"/>
        <w:rPr>
          <w:highlight w:val="yellow"/>
        </w:rPr>
      </w:pPr>
      <w:r w:rsidRPr="678E2B26" w:rsidR="6F1ED86E">
        <w:rPr>
          <w:highlight w:val="yellow"/>
        </w:rPr>
        <w:t>Make a separate figure for HVS – that one was alphafolded</w:t>
      </w:r>
    </w:p>
    <w:p w:rsidR="678E2B26" w:rsidP="678E2B26" w:rsidRDefault="678E2B26" w14:paraId="0FCEE4C2" w14:textId="2D717391">
      <w:pPr>
        <w:pStyle w:val="Normal"/>
        <w:ind w:left="0"/>
        <w:rPr>
          <w:highlight w:val="yellow"/>
        </w:rPr>
      </w:pPr>
    </w:p>
    <w:p w:rsidR="6F1ED86E" w:rsidP="678E2B26" w:rsidRDefault="6F1ED86E" w14:paraId="41571D59" w14:textId="35984346">
      <w:pPr>
        <w:pStyle w:val="Normal"/>
        <w:ind w:left="0"/>
        <w:rPr>
          <w:highlight w:val="yellow"/>
        </w:rPr>
      </w:pPr>
      <w:r w:rsidRPr="678E2B26" w:rsidR="6F1ED86E">
        <w:rPr>
          <w:highlight w:val="yellow"/>
        </w:rPr>
        <w:t xml:space="preserve">And add </w:t>
      </w:r>
      <w:r w:rsidRPr="678E2B26" w:rsidR="6F1ED86E">
        <w:rPr>
          <w:highlight w:val="yellow"/>
        </w:rPr>
        <w:t>phylo</w:t>
      </w:r>
      <w:r w:rsidRPr="678E2B26" w:rsidR="6F1ED86E">
        <w:rPr>
          <w:highlight w:val="yellow"/>
        </w:rPr>
        <w:t xml:space="preserve"> trees!! </w:t>
      </w:r>
      <w:r w:rsidRPr="678E2B26" w:rsidR="59BFB6CA">
        <w:rPr>
          <w:highlight w:val="yellow"/>
        </w:rPr>
        <w:t>For just AD-6 of HHV + add the scale.</w:t>
      </w:r>
    </w:p>
    <w:p w:rsidR="678E2B26" w:rsidP="678E2B26" w:rsidRDefault="678E2B26" w14:paraId="67DDD36F" w14:textId="0AACADEC">
      <w:pPr>
        <w:pStyle w:val="Normal"/>
        <w:ind w:left="0"/>
        <w:rPr>
          <w:highlight w:val="yellow"/>
        </w:rPr>
      </w:pPr>
    </w:p>
    <w:p w:rsidR="678E2B26" w:rsidP="678E2B26" w:rsidRDefault="678E2B26" w14:paraId="0F0EBF88" w14:textId="448279E9">
      <w:pPr>
        <w:pStyle w:val="Normal"/>
        <w:ind w:left="0"/>
      </w:pPr>
    </w:p>
    <w:p w:rsidR="678E2B26" w:rsidP="678E2B26" w:rsidRDefault="678E2B26" w14:paraId="03CEC183" w14:textId="5EB1667A">
      <w:pPr>
        <w:pStyle w:val="Normal"/>
        <w:ind w:left="0"/>
      </w:pPr>
    </w:p>
    <w:p w:rsidR="1A7F7175" w:rsidP="678E2B26" w:rsidRDefault="1A7F7175" w14:paraId="71BC83F6" w14:textId="376F1191">
      <w:pPr>
        <w:pStyle w:val="Normal"/>
        <w:ind w:left="0"/>
      </w:pPr>
      <w:r w:rsidR="1A7F7175">
        <w:rPr/>
        <w:t>1.3</w:t>
      </w:r>
      <w:r w:rsidR="0F7165F4">
        <w:rPr/>
        <w:t xml:space="preserve"> Immunogenicity prediction and database matching</w:t>
      </w:r>
    </w:p>
    <w:p w:rsidR="678E2B26" w:rsidP="678E2B26" w:rsidRDefault="678E2B26" w14:paraId="493C9C74" w14:textId="3645DD37">
      <w:pPr>
        <w:pStyle w:val="Normal"/>
        <w:ind w:left="0"/>
      </w:pPr>
    </w:p>
    <w:p w:rsidR="0F7165F4" w:rsidP="678E2B26" w:rsidRDefault="0F7165F4" w14:paraId="22CEA2D8" w14:textId="2E85C680">
      <w:pPr>
        <w:pStyle w:val="Normal"/>
        <w:ind w:left="0"/>
      </w:pPr>
      <w:r w:rsidR="0F7165F4">
        <w:rPr/>
        <w:t xml:space="preserve">To support the hypothesis of conserved immunogenicity </w:t>
      </w:r>
      <w:r w:rsidR="4AF148F6">
        <w:rPr/>
        <w:t>I</w:t>
      </w:r>
      <w:r w:rsidR="0F7165F4">
        <w:rPr/>
        <w:t xml:space="preserve"> </w:t>
      </w:r>
      <w:r w:rsidR="0F7165F4">
        <w:rPr/>
        <w:t xml:space="preserve">performed a B cell epitope prediction analysis on all 4 </w:t>
      </w:r>
      <w:r w:rsidR="0F7165F4">
        <w:rPr/>
        <w:t>gB</w:t>
      </w:r>
      <w:r w:rsidR="0F7165F4">
        <w:rPr/>
        <w:t xml:space="preserve"> sequences.</w:t>
      </w:r>
    </w:p>
    <w:p w:rsidR="678E2B26" w:rsidP="678E2B26" w:rsidRDefault="678E2B26" w14:paraId="3BF2C2AB" w14:textId="76B5532F">
      <w:pPr>
        <w:pStyle w:val="Normal"/>
        <w:ind w:left="0"/>
      </w:pPr>
    </w:p>
    <w:p w:rsidR="0F7165F4" w:rsidP="678E2B26" w:rsidRDefault="0F7165F4" w14:paraId="5C64E2E2" w14:textId="42CC6CF0">
      <w:pPr>
        <w:pStyle w:val="Normal"/>
        <w:ind w:left="0"/>
        <w:rPr>
          <w:highlight w:val="yellow"/>
        </w:rPr>
      </w:pPr>
      <w:r w:rsidRPr="678E2B26" w:rsidR="0F7165F4">
        <w:rPr>
          <w:highlight w:val="yellow"/>
        </w:rPr>
        <w:t>[</w:t>
      </w:r>
      <w:r w:rsidRPr="678E2B26" w:rsidR="0F7165F4">
        <w:rPr>
          <w:highlight w:val="yellow"/>
        </w:rPr>
        <w:t>figre</w:t>
      </w:r>
      <w:r w:rsidRPr="678E2B26" w:rsidR="0F7165F4">
        <w:rPr>
          <w:highlight w:val="yellow"/>
        </w:rPr>
        <w:t xml:space="preserve"> with the profiles compared – AD6 everywhere has a </w:t>
      </w:r>
      <w:r w:rsidRPr="678E2B26" w:rsidR="683ACE0A">
        <w:rPr>
          <w:highlight w:val="yellow"/>
        </w:rPr>
        <w:t>3 peak</w:t>
      </w:r>
      <w:r w:rsidRPr="678E2B26" w:rsidR="683ACE0A">
        <w:rPr>
          <w:highlight w:val="yellow"/>
        </w:rPr>
        <w:t xml:space="preserve"> profile</w:t>
      </w:r>
      <w:r w:rsidRPr="678E2B26" w:rsidR="0F7165F4">
        <w:rPr>
          <w:highlight w:val="yellow"/>
        </w:rPr>
        <w:t>]</w:t>
      </w:r>
    </w:p>
    <w:p w:rsidR="678E2B26" w:rsidP="678E2B26" w:rsidRDefault="678E2B26" w14:paraId="30454466" w14:textId="6AD77D26">
      <w:pPr>
        <w:pStyle w:val="Normal"/>
        <w:ind w:left="0"/>
        <w:rPr>
          <w:highlight w:val="yellow"/>
        </w:rPr>
      </w:pPr>
    </w:p>
    <w:p w:rsidR="53904903" w:rsidP="678E2B26" w:rsidRDefault="53904903" w14:paraId="0F9599FD" w14:textId="0E631F6B">
      <w:pPr>
        <w:pStyle w:val="Normal"/>
        <w:ind w:left="0"/>
        <w:rPr>
          <w:highlight w:val="yellow"/>
        </w:rPr>
      </w:pPr>
      <w:r w:rsidRPr="678E2B26" w:rsidR="53904903">
        <w:rPr>
          <w:highlight w:val="yellow"/>
        </w:rPr>
        <w:t xml:space="preserve">[another figure for the alignment with </w:t>
      </w:r>
      <w:r w:rsidRPr="678E2B26" w:rsidR="53904903">
        <w:rPr>
          <w:highlight w:val="yellow"/>
        </w:rPr>
        <w:t>epitopes]</w:t>
      </w:r>
      <w:r w:rsidR="53904903">
        <w:rPr/>
        <w:t xml:space="preserve"> </w:t>
      </w:r>
    </w:p>
    <w:p w:rsidR="678E2B26" w:rsidP="678E2B26" w:rsidRDefault="678E2B26" w14:paraId="2ABAEF31" w14:textId="6C64BB5A">
      <w:pPr>
        <w:pStyle w:val="Normal"/>
        <w:ind w:left="0"/>
      </w:pPr>
    </w:p>
    <w:p w:rsidR="53904903" w:rsidP="678E2B26" w:rsidRDefault="53904903" w14:paraId="65368B12" w14:textId="34BACE61">
      <w:pPr>
        <w:pStyle w:val="Normal"/>
        <w:ind w:left="0"/>
      </w:pPr>
      <w:r w:rsidR="53904903">
        <w:rPr/>
        <w:t>when</w:t>
      </w:r>
      <w:r w:rsidR="53904903">
        <w:rPr/>
        <w:t xml:space="preserve"> browsed through the database – the 3 epitopes match up, with the last one </w:t>
      </w:r>
      <w:r w:rsidR="53904903">
        <w:rPr/>
        <w:t>probably being</w:t>
      </w:r>
      <w:r w:rsidR="53904903">
        <w:rPr/>
        <w:t xml:space="preserve"> the most real one</w:t>
      </w:r>
      <w:r w:rsidR="5301B232">
        <w:rPr/>
        <w:t xml:space="preserve">, consistent with the data from the AD-6 paper </w:t>
      </w:r>
      <w:r w:rsidRPr="678E2B26" w:rsidR="5301B232">
        <w:rPr>
          <w:highlight w:val="yellow"/>
        </w:rPr>
        <w:t>[ask matt if it ever made to the publication]</w:t>
      </w:r>
      <w:r w:rsidR="5301B232">
        <w:rPr/>
        <w:t xml:space="preserve">. </w:t>
      </w:r>
    </w:p>
    <w:p w:rsidR="678E2B26" w:rsidP="678E2B26" w:rsidRDefault="678E2B26" w14:paraId="6F1488CA" w14:textId="1EA5D50E">
      <w:pPr>
        <w:pStyle w:val="Normal"/>
        <w:ind w:left="0"/>
      </w:pPr>
    </w:p>
    <w:p w:rsidR="1CC1DC26" w:rsidP="678E2B26" w:rsidRDefault="1CC1DC26" w14:paraId="0EE6F723" w14:textId="2F290836">
      <w:pPr>
        <w:pStyle w:val="Normal"/>
        <w:ind w:left="0"/>
        <w:rPr>
          <w:highlight w:val="yellow"/>
        </w:rPr>
      </w:pPr>
      <w:r w:rsidR="1CC1DC26">
        <w:rPr/>
        <w:t>A</w:t>
      </w:r>
      <w:r w:rsidR="68204715">
        <w:rPr/>
        <w:t xml:space="preserve">nother result of the </w:t>
      </w:r>
      <w:r w:rsidR="68204715">
        <w:rPr/>
        <w:t>aforementioned epitope</w:t>
      </w:r>
      <w:r w:rsidR="68204715">
        <w:rPr/>
        <w:t xml:space="preserve"> database matching exercise is a comprehensive epitope map of the Merlin </w:t>
      </w:r>
      <w:r w:rsidR="41218CC2">
        <w:rPr/>
        <w:t>gB</w:t>
      </w:r>
      <w:r w:rsidR="41218CC2">
        <w:rPr/>
        <w:t xml:space="preserve"> amino acid sequence. The corresponding alignment and epitope metadata can be found on </w:t>
      </w:r>
      <w:r w:rsidRPr="678E2B26" w:rsidR="41218CC2">
        <w:rPr>
          <w:highlight w:val="yellow"/>
        </w:rPr>
        <w:t>(</w:t>
      </w:r>
      <w:r w:rsidRPr="678E2B26" w:rsidR="41218CC2">
        <w:rPr>
          <w:highlight w:val="yellow"/>
        </w:rPr>
        <w:t>github</w:t>
      </w:r>
      <w:r w:rsidRPr="678E2B26" w:rsidR="41218CC2">
        <w:rPr>
          <w:highlight w:val="yellow"/>
        </w:rPr>
        <w:t>)</w:t>
      </w:r>
      <w:r w:rsidRPr="678E2B26" w:rsidR="2CE8FF9C">
        <w:rPr>
          <w:highlight w:val="yellow"/>
        </w:rPr>
        <w:t>.</w:t>
      </w:r>
      <w:r w:rsidRPr="678E2B26" w:rsidR="2CE8FF9C">
        <w:rPr>
          <w:color w:val="FF0000"/>
          <w:highlight w:val="yellow"/>
        </w:rPr>
        <w:t xml:space="preserve"> While that alignment was obtained using the methods described in [], I had a chance to </w:t>
      </w:r>
      <w:r w:rsidRPr="678E2B26" w:rsidR="2CE8FF9C">
        <w:rPr>
          <w:color w:val="FF0000"/>
          <w:highlight w:val="yellow"/>
        </w:rPr>
        <w:t>modify</w:t>
      </w:r>
      <w:r w:rsidRPr="678E2B26" w:rsidR="2CE8FF9C">
        <w:rPr>
          <w:color w:val="FF0000"/>
          <w:highlight w:val="yellow"/>
        </w:rPr>
        <w:t xml:space="preserve"> the process and compile a scrip</w:t>
      </w:r>
      <w:r w:rsidRPr="678E2B26" w:rsidR="41218CC2">
        <w:rPr>
          <w:color w:val="FF0000"/>
          <w:highlight w:val="yellow"/>
        </w:rPr>
        <w:t xml:space="preserve">t </w:t>
      </w:r>
      <w:r w:rsidRPr="678E2B26" w:rsidR="085C39F8">
        <w:rPr>
          <w:color w:val="FF0000"/>
          <w:highlight w:val="yellow"/>
        </w:rPr>
        <w:t xml:space="preserve">that </w:t>
      </w:r>
      <w:r w:rsidRPr="678E2B26" w:rsidR="41218CC2">
        <w:rPr>
          <w:color w:val="FF0000"/>
          <w:highlight w:val="yellow"/>
        </w:rPr>
        <w:t>simplif</w:t>
      </w:r>
      <w:r w:rsidRPr="678E2B26" w:rsidR="1DB12881">
        <w:rPr>
          <w:color w:val="FF0000"/>
          <w:highlight w:val="yellow"/>
        </w:rPr>
        <w:t>ies</w:t>
      </w:r>
      <w:r w:rsidRPr="678E2B26" w:rsidR="41218CC2">
        <w:rPr>
          <w:color w:val="FF0000"/>
          <w:highlight w:val="yellow"/>
        </w:rPr>
        <w:t xml:space="preserve"> </w:t>
      </w:r>
      <w:r w:rsidRPr="678E2B26" w:rsidR="4E820E39">
        <w:rPr>
          <w:color w:val="FF0000"/>
          <w:highlight w:val="yellow"/>
        </w:rPr>
        <w:t xml:space="preserve">and streamlines </w:t>
      </w:r>
      <w:r w:rsidRPr="678E2B26" w:rsidR="41218CC2">
        <w:rPr>
          <w:color w:val="FF0000"/>
          <w:highlight w:val="yellow"/>
        </w:rPr>
        <w:t>the database search process</w:t>
      </w:r>
      <w:r w:rsidRPr="678E2B26" w:rsidR="7D8D3E1A">
        <w:rPr>
          <w:color w:val="FF0000"/>
          <w:highlight w:val="yellow"/>
        </w:rPr>
        <w:t>. The epitope mapping tool can now be used publicly</w:t>
      </w:r>
      <w:r w:rsidRPr="678E2B26" w:rsidR="779D82E5">
        <w:rPr>
          <w:color w:val="FF0000"/>
          <w:highlight w:val="yellow"/>
        </w:rPr>
        <w:t xml:space="preserve">, is applicable for any protein sequence of interest, and outputs the same kind of alignment that was used in this analysis. </w:t>
      </w:r>
    </w:p>
    <w:p w:rsidR="678E2B26" w:rsidP="678E2B26" w:rsidRDefault="678E2B26" w14:paraId="12271958" w14:textId="3CC4B6E7">
      <w:pPr>
        <w:pStyle w:val="Normal"/>
        <w:ind w:left="0"/>
      </w:pPr>
    </w:p>
    <w:p w:rsidR="00800605" w:rsidP="00800605" w:rsidRDefault="00800605" w14:paraId="3B100A67" w14:textId="49033726">
      <w:r w:rsidR="5B4A111E">
        <w:rPr/>
        <w:t>1.</w:t>
      </w:r>
      <w:r w:rsidR="4460DEA5">
        <w:rPr/>
        <w:t>4</w:t>
      </w:r>
      <w:r w:rsidR="5B4A111E">
        <w:rPr/>
        <w:t xml:space="preserve"> </w:t>
      </w:r>
      <w:r w:rsidR="00800605">
        <w:rPr/>
        <w:t xml:space="preserve">Molecular frustration </w:t>
      </w:r>
    </w:p>
    <w:p w:rsidR="00800605" w:rsidP="00800605" w:rsidRDefault="00800605" w14:paraId="5EDC2796" w14:textId="0171AD39"/>
    <w:p w:rsidR="00800605" w:rsidP="678E2B26" w:rsidRDefault="00800605" w14:paraId="43F8CFE0" w14:textId="3D436AB7">
      <w:pPr>
        <w:pStyle w:val="Normal"/>
      </w:pPr>
      <w:r w:rsidR="1CDFFCCF">
        <w:rPr/>
        <w:t xml:space="preserve">Molecular frustration can be used to measure the internal energy stored within an amino acid residue as part of a bigger protein structure. In lay terms, </w:t>
      </w:r>
      <w:r w:rsidR="1CDFFCCF">
        <w:rPr/>
        <w:t xml:space="preserve">high </w:t>
      </w:r>
      <w:r w:rsidR="42F2ECB4">
        <w:rPr/>
        <w:t>level</w:t>
      </w:r>
      <w:r w:rsidR="42F2ECB4">
        <w:rPr/>
        <w:t xml:space="preserve"> of molecular frustration corresponds to a high amount of “</w:t>
      </w:r>
      <w:r w:rsidR="42F2ECB4">
        <w:rPr/>
        <w:t>jigglyness</w:t>
      </w:r>
      <w:r w:rsidR="42F2ECB4">
        <w:rPr/>
        <w:t xml:space="preserve">” within a given </w:t>
      </w:r>
      <w:r w:rsidR="42F2ECB4">
        <w:rPr/>
        <w:t>reside</w:t>
      </w:r>
      <w:r w:rsidR="42F2ECB4">
        <w:rPr/>
        <w:t xml:space="preserve">. </w:t>
      </w:r>
      <w:r w:rsidR="6D333F24">
        <w:rPr/>
        <w:t>Highly frustrated parts of the protein</w:t>
      </w:r>
      <w:r w:rsidR="2BD82456">
        <w:rPr/>
        <w:t xml:space="preserve"> (red in figure X)</w:t>
      </w:r>
      <w:r w:rsidR="6D333F24">
        <w:rPr/>
        <w:t xml:space="preserve"> </w:t>
      </w:r>
      <w:r w:rsidR="6D333F24">
        <w:rPr/>
        <w:t>are not favourable from entropy point of view – they jiggle a lot - thus suggesting an evolutionary pressure other than convenience of folding. High frustration is usually clustered at the functional /catalytic/reactive parts of proteins [</w:t>
      </w:r>
      <w:r w:rsidRPr="2B1C2550" w:rsidR="6D333F24">
        <w:rPr>
          <w:highlight w:val="yellow"/>
        </w:rPr>
        <w:t>towers review</w:t>
      </w:r>
      <w:r w:rsidRPr="2B1C2550" w:rsidR="6D333F24">
        <w:rPr>
          <w:highlight w:val="yellow"/>
        </w:rPr>
        <w:t>?? ]</w:t>
      </w:r>
      <w:r w:rsidR="6D333F24">
        <w:rPr/>
        <w:t xml:space="preserve">. Minimally frustrated parts of the protein </w:t>
      </w:r>
      <w:r w:rsidR="3E87B560">
        <w:rPr/>
        <w:t xml:space="preserve">(green in figure X) </w:t>
      </w:r>
      <w:r w:rsidR="6D333F24">
        <w:rPr/>
        <w:t>are very stable from entropy point of view – they barely jiggle. Most proteins in nature would try to achieve a state where most of the structure is minimally frustrated.</w:t>
      </w:r>
      <w:r w:rsidR="43067772">
        <w:rPr/>
        <w:t xml:space="preserve"> </w:t>
      </w:r>
      <w:r w:rsidR="6D333F24">
        <w:rPr/>
        <w:t xml:space="preserve">Neutral regions </w:t>
      </w:r>
      <w:r w:rsidR="4397EC25">
        <w:rPr/>
        <w:t xml:space="preserve">(grey in figure X) </w:t>
      </w:r>
      <w:r w:rsidR="6D333F24">
        <w:rPr/>
        <w:t xml:space="preserve">are </w:t>
      </w:r>
      <w:r w:rsidR="006DAF5B">
        <w:rPr/>
        <w:t xml:space="preserve">inconsequential </w:t>
      </w:r>
      <w:r w:rsidR="6843D5AE">
        <w:rPr/>
        <w:t xml:space="preserve">– they </w:t>
      </w:r>
      <w:r w:rsidR="678E2B26">
        <w:rPr/>
        <w:t xml:space="preserve">jiggle </w:t>
      </w:r>
      <w:r w:rsidR="6D333F24">
        <w:rPr/>
        <w:t>a little bit, like any molecule would.</w:t>
      </w:r>
    </w:p>
    <w:p w:rsidR="00800605" w:rsidP="678E2B26" w:rsidRDefault="00800605" w14:paraId="6B47E72E" w14:textId="76486863">
      <w:pPr>
        <w:pStyle w:val="Normal"/>
      </w:pPr>
    </w:p>
    <w:p w:rsidR="00800605" w:rsidP="678E2B26" w:rsidRDefault="00800605" w14:paraId="4401E758" w14:textId="525948BD">
      <w:pPr>
        <w:pStyle w:val="Normal"/>
      </w:pPr>
      <w:r w:rsidR="200C2B74">
        <w:rPr/>
        <w:t>Highly frustrated domains are not favourable from entropy point of view</w:t>
      </w:r>
    </w:p>
    <w:p w:rsidR="00800605" w:rsidP="00800605" w:rsidRDefault="00800605" w14:paraId="057F04F0" w14:textId="633136F5">
      <w:r w:rsidR="00800605">
        <w:rPr/>
        <w:t>– trimer and not, HSV1 and not, pre post fusion etc</w:t>
      </w:r>
    </w:p>
    <w:p w:rsidR="678E2B26" w:rsidP="678E2B26" w:rsidRDefault="678E2B26" w14:paraId="0D020007" w14:textId="71CE54E7">
      <w:pPr>
        <w:pStyle w:val="Normal"/>
      </w:pPr>
    </w:p>
    <w:p w:rsidR="6BCEC66D" w:rsidP="678E2B26" w:rsidRDefault="6BCEC66D" w14:paraId="346EB992" w14:textId="18C58C25">
      <w:pPr>
        <w:pStyle w:val="Normal"/>
      </w:pPr>
      <w:r w:rsidR="6BCEC66D">
        <w:rPr/>
        <w:t>[are 4 HHV possible here? ]</w:t>
      </w:r>
    </w:p>
    <w:p w:rsidR="678E2B26" w:rsidP="678E2B26" w:rsidRDefault="678E2B26" w14:paraId="32F94C18" w14:textId="6B4F1041">
      <w:pPr>
        <w:pStyle w:val="Normal"/>
      </w:pPr>
    </w:p>
    <w:p w:rsidR="16D927C8" w:rsidP="678E2B26" w:rsidRDefault="16D927C8" w14:paraId="422C8326" w14:textId="69E136BA">
      <w:pPr>
        <w:pStyle w:val="Normal"/>
        <w:rPr>
          <w:highlight w:val="yellow"/>
        </w:rPr>
      </w:pPr>
      <w:r w:rsidRPr="678E2B26" w:rsidR="16D927C8">
        <w:rPr>
          <w:highlight w:val="yellow"/>
        </w:rPr>
        <w:t xml:space="preserve">[ </w:t>
      </w:r>
      <w:r w:rsidRPr="678E2B26" w:rsidR="675916AA">
        <w:rPr>
          <w:highlight w:val="yellow"/>
        </w:rPr>
        <w:t xml:space="preserve">Figures and graphs from </w:t>
      </w:r>
      <w:r w:rsidRPr="678E2B26" w:rsidR="675916AA">
        <w:rPr>
          <w:highlight w:val="yellow"/>
        </w:rPr>
        <w:t>frustratometer</w:t>
      </w:r>
      <w:r w:rsidRPr="678E2B26" w:rsidR="675916AA">
        <w:rPr>
          <w:highlight w:val="yellow"/>
        </w:rPr>
        <w:t xml:space="preserve"> with the coordinates </w:t>
      </w:r>
      <w:r w:rsidRPr="678E2B26" w:rsidR="675916AA">
        <w:rPr>
          <w:highlight w:val="yellow"/>
        </w:rPr>
        <w:t xml:space="preserve">altered </w:t>
      </w:r>
      <w:r w:rsidRPr="678E2B26" w:rsidR="01C19E56">
        <w:rPr>
          <w:highlight w:val="yellow"/>
        </w:rPr>
        <w:t>]</w:t>
      </w:r>
    </w:p>
    <w:p w:rsidR="678E2B26" w:rsidP="678E2B26" w:rsidRDefault="678E2B26" w14:paraId="50B2E9B1" w14:textId="4DD40B7C">
      <w:pPr>
        <w:pStyle w:val="Normal"/>
        <w:rPr>
          <w:highlight w:val="yellow"/>
        </w:rPr>
      </w:pPr>
    </w:p>
    <w:p w:rsidR="348E0001" w:rsidP="678E2B26" w:rsidRDefault="348E0001" w14:paraId="159ABE9D" w14:textId="67710BA6">
      <w:pPr>
        <w:pStyle w:val="Normal"/>
        <w:rPr>
          <w:highlight w:val="yellow"/>
        </w:rPr>
      </w:pPr>
      <w:r w:rsidR="348E0001">
        <w:rPr/>
        <w:t>High level</w:t>
      </w:r>
      <w:r w:rsidR="348E0001">
        <w:rPr/>
        <w:t xml:space="preserve"> of molecular frustration </w:t>
      </w:r>
      <w:r w:rsidR="330F0212">
        <w:rPr/>
        <w:t>often correlates with domain’s function</w:t>
      </w:r>
      <w:r w:rsidR="348E0001">
        <w:rPr/>
        <w:t xml:space="preserve"> </w:t>
      </w:r>
      <w:r w:rsidRPr="678E2B26" w:rsidR="5FEF1AD7">
        <w:rPr>
          <w:highlight w:val="yellow"/>
        </w:rPr>
        <w:t>[Greg Towers review]</w:t>
      </w:r>
      <w:r w:rsidRPr="678E2B26" w:rsidR="3D237700">
        <w:rPr>
          <w:highlight w:val="yellow"/>
        </w:rPr>
        <w:t xml:space="preserve"> - reword this </w:t>
      </w:r>
    </w:p>
    <w:p w:rsidR="678E2B26" w:rsidP="678E2B26" w:rsidRDefault="678E2B26" w14:paraId="3809B390" w14:textId="32D000A1">
      <w:pPr>
        <w:pStyle w:val="Normal"/>
        <w:rPr>
          <w:highlight w:val="yellow"/>
        </w:rPr>
      </w:pPr>
    </w:p>
    <w:p w:rsidR="5FEF1AD7" w:rsidP="678E2B26" w:rsidRDefault="5FEF1AD7" w14:paraId="6B0C7A36" w14:textId="1442B4A1">
      <w:pPr>
        <w:pStyle w:val="Normal"/>
      </w:pPr>
      <w:r w:rsidR="5FEF1AD7">
        <w:rPr/>
        <w:t>parts of the protein are not favourable from entropy point of view – they jiggle a lot. This suggests an evolutionary pressure other than convenience of folding. High frustration is clustered at the functional /catalytic/reactive parts of proteins.</w:t>
      </w:r>
    </w:p>
    <w:p w:rsidR="678E2B26" w:rsidP="678E2B26" w:rsidRDefault="678E2B26" w14:paraId="7F668E5A" w14:textId="53B89012">
      <w:pPr>
        <w:pStyle w:val="Normal"/>
      </w:pPr>
    </w:p>
    <w:p w:rsidR="3FD9AF85" w:rsidP="678E2B26" w:rsidRDefault="3FD9AF85" w14:paraId="60AECD59" w14:textId="777A6824">
      <w:pPr>
        <w:pStyle w:val="Normal"/>
      </w:pPr>
      <w:r w:rsidR="3FD9AF85">
        <w:rPr/>
        <w:t>1.5 Oligomerisation prediction</w:t>
      </w:r>
    </w:p>
    <w:p w:rsidR="678E2B26" w:rsidP="678E2B26" w:rsidRDefault="678E2B26" w14:paraId="1101CCAD" w14:textId="2A9BCB42">
      <w:pPr>
        <w:pStyle w:val="Normal"/>
      </w:pPr>
    </w:p>
    <w:p w:rsidR="25E90B39" w:rsidP="678E2B26" w:rsidRDefault="25E90B39" w14:paraId="57142E8D" w14:textId="308E2E28">
      <w:pPr>
        <w:pStyle w:val="Normal"/>
      </w:pPr>
      <w:r w:rsidR="25E90B39">
        <w:rPr/>
        <w:t xml:space="preserve">One of the natural follow-up questions to the </w:t>
      </w:r>
      <w:r w:rsidR="25E90B39">
        <w:rPr/>
        <w:t>frustratometer</w:t>
      </w:r>
      <w:r w:rsidR="25E90B39">
        <w:rPr/>
        <w:t xml:space="preserve"> results was </w:t>
      </w:r>
      <w:r w:rsidR="29DD35DC">
        <w:rPr/>
        <w:t xml:space="preserve">whether </w:t>
      </w:r>
      <w:r w:rsidR="30C7E8CA">
        <w:rPr/>
        <w:t xml:space="preserve">AD-6 function lies in </w:t>
      </w:r>
      <w:r w:rsidR="30C7E8CA">
        <w:rPr/>
        <w:t>assisting</w:t>
      </w:r>
      <w:r w:rsidR="30C7E8CA">
        <w:rPr/>
        <w:t xml:space="preserve"> the </w:t>
      </w:r>
      <w:r w:rsidR="30C7E8CA">
        <w:rPr/>
        <w:t>trimerisation</w:t>
      </w:r>
      <w:r w:rsidR="30C7E8CA">
        <w:rPr/>
        <w:t xml:space="preserve"> of </w:t>
      </w:r>
      <w:r w:rsidR="30C7E8CA">
        <w:rPr/>
        <w:t>gB</w:t>
      </w:r>
      <w:r w:rsidR="30C7E8CA">
        <w:rPr/>
        <w:t xml:space="preserve"> molecule. Additionally, the outlook of an AD-6 specific vaccine was outlining whether </w:t>
      </w:r>
      <w:r w:rsidR="1F399703">
        <w:rPr/>
        <w:t>an abundance of AD-6</w:t>
      </w:r>
      <w:r w:rsidR="29DD35DC">
        <w:rPr/>
        <w:t xml:space="preserve"> peptide can exist in an </w:t>
      </w:r>
      <w:r w:rsidR="29DD35DC">
        <w:rPr/>
        <w:t>immunolo</w:t>
      </w:r>
      <w:r w:rsidR="29DD35DC">
        <w:rPr/>
        <w:t>gically favourable state</w:t>
      </w:r>
      <w:r w:rsidR="29DD35DC">
        <w:rPr/>
        <w:t>.</w:t>
      </w:r>
      <w:r w:rsidR="4C4C8E55">
        <w:rPr/>
        <w:t xml:space="preserve"> </w:t>
      </w:r>
      <w:r w:rsidR="29DD35DC">
        <w:rPr/>
        <w:t>I ran multi</w:t>
      </w:r>
      <w:r w:rsidR="040FFAE2">
        <w:rPr/>
        <w:t xml:space="preserve">ple </w:t>
      </w:r>
      <w:r w:rsidR="040FFAE2">
        <w:rPr/>
        <w:t>Alphafold</w:t>
      </w:r>
      <w:r w:rsidR="040FFAE2">
        <w:rPr/>
        <w:t xml:space="preserve"> models with a varying number of constituent AD-6 “monomers”</w:t>
      </w:r>
      <w:r w:rsidR="6B269475">
        <w:rPr/>
        <w:t xml:space="preserve">, first, </w:t>
      </w:r>
      <w:r w:rsidR="040FFAE2">
        <w:rPr/>
        <w:t xml:space="preserve">to </w:t>
      </w:r>
      <w:r w:rsidR="040FFAE2">
        <w:rPr/>
        <w:t>observe</w:t>
      </w:r>
      <w:r w:rsidR="040FFAE2">
        <w:rPr/>
        <w:t xml:space="preserve"> if </w:t>
      </w:r>
      <w:r w:rsidR="0DAC25BF">
        <w:rPr/>
        <w:t>trimerisation</w:t>
      </w:r>
      <w:r w:rsidR="0DAC25BF">
        <w:rPr/>
        <w:t xml:space="preserve"> would occur</w:t>
      </w:r>
      <w:r w:rsidR="70DE3EF7">
        <w:rPr/>
        <w:t xml:space="preserve"> resembling the </w:t>
      </w:r>
      <w:r w:rsidR="70DE3EF7">
        <w:rPr/>
        <w:t>gB</w:t>
      </w:r>
      <w:r w:rsidR="70DE3EF7">
        <w:rPr/>
        <w:t xml:space="preserve"> homotrimer. Then as the number of monomers increased, I </w:t>
      </w:r>
      <w:r w:rsidR="2920AD24">
        <w:rPr/>
        <w:t xml:space="preserve">asked a question whether </w:t>
      </w:r>
      <w:r w:rsidR="040FFAE2">
        <w:rPr/>
        <w:t>th</w:t>
      </w:r>
      <w:r w:rsidR="5DE0BE3B">
        <w:rPr/>
        <w:t>e oligomerisation would interfere with</w:t>
      </w:r>
      <w:r w:rsidR="040FFAE2">
        <w:rPr/>
        <w:t xml:space="preserve"> </w:t>
      </w:r>
      <w:r w:rsidR="5E918584">
        <w:rPr/>
        <w:t>optimal</w:t>
      </w:r>
      <w:r w:rsidR="5E918584">
        <w:rPr/>
        <w:t xml:space="preserve"> </w:t>
      </w:r>
      <w:r w:rsidR="040FFAE2">
        <w:rPr/>
        <w:t>epitope pre</w:t>
      </w:r>
      <w:r w:rsidR="7249409D">
        <w:rPr/>
        <w:t>s</w:t>
      </w:r>
      <w:r w:rsidR="040FFAE2">
        <w:rPr/>
        <w:t>entation</w:t>
      </w:r>
      <w:r w:rsidR="5D5DD88A">
        <w:rPr/>
        <w:t xml:space="preserve">. </w:t>
      </w:r>
    </w:p>
    <w:p w:rsidR="678E2B26" w:rsidP="678E2B26" w:rsidRDefault="678E2B26" w14:paraId="33B790EA" w14:textId="76514F9D">
      <w:pPr>
        <w:pStyle w:val="Normal"/>
      </w:pPr>
    </w:p>
    <w:p w:rsidR="678E2B26" w:rsidP="678E2B26" w:rsidRDefault="678E2B26" w14:paraId="4F821A3D" w14:textId="60B4E1CD">
      <w:pPr>
        <w:pStyle w:val="Normal"/>
      </w:pPr>
    </w:p>
    <w:p w:rsidR="678E2B26" w:rsidP="678E2B26" w:rsidRDefault="678E2B26" w14:paraId="6112CED8" w14:textId="340BFD64">
      <w:pPr>
        <w:pStyle w:val="Normal"/>
      </w:pPr>
    </w:p>
    <w:p w:rsidR="678E2B26" w:rsidP="678E2B26" w:rsidRDefault="678E2B26" w14:paraId="6A2DA3D2" w14:textId="707A1F39">
      <w:pPr>
        <w:pStyle w:val="Normal"/>
      </w:pPr>
    </w:p>
    <w:p w:rsidR="3FD9AF85" w:rsidP="678E2B26" w:rsidRDefault="3FD9AF85" w14:paraId="2ED70CB2" w14:textId="40CC6A90">
      <w:pPr>
        <w:pStyle w:val="Normal"/>
        <w:ind w:left="0"/>
      </w:pPr>
      <w:r w:rsidR="3FD9AF85">
        <w:rPr/>
        <w:t xml:space="preserve">Polymerisation of AD6 </w:t>
      </w:r>
    </w:p>
    <w:p w:rsidR="3FD9AF85" w:rsidP="678E2B26" w:rsidRDefault="3FD9AF85" w14:paraId="1B1BB20F" w14:textId="214D0189">
      <w:pPr>
        <w:pStyle w:val="Normal"/>
        <w:ind w:left="0"/>
      </w:pPr>
      <w:r w:rsidR="3FD9AF85">
        <w:rPr/>
        <w:t>Optimal N</w:t>
      </w:r>
      <w:r w:rsidR="73A1A1AB">
        <w:rPr/>
        <w:t xml:space="preserve"> – fence, then donut then falls apart </w:t>
      </w:r>
    </w:p>
    <w:p w:rsidR="678E2B26" w:rsidP="678E2B26" w:rsidRDefault="678E2B26" w14:paraId="72F59A80" w14:textId="33EC89EC">
      <w:pPr>
        <w:pStyle w:val="Normal"/>
        <w:ind w:left="0"/>
      </w:pPr>
    </w:p>
    <w:p w:rsidR="3FD9AF85" w:rsidP="678E2B26" w:rsidRDefault="3FD9AF85" w14:paraId="3189FECD" w14:textId="3E2C36D4">
      <w:pPr>
        <w:pStyle w:val="Normal"/>
        <w:ind w:left="0"/>
        <w:rPr>
          <w:highlight w:val="yellow"/>
        </w:rPr>
      </w:pPr>
      <w:r w:rsidRPr="678E2B26" w:rsidR="3FD9AF85">
        <w:rPr>
          <w:highlight w:val="yellow"/>
        </w:rPr>
        <w:t>[figures for increasing N, maybe a graph for how much frustration in the PDB? Or accessibility]</w:t>
      </w:r>
    </w:p>
    <w:p w:rsidR="678E2B26" w:rsidP="678E2B26" w:rsidRDefault="678E2B26" w14:paraId="582AC3DA" w14:textId="64F69833">
      <w:pPr>
        <w:pStyle w:val="Normal"/>
      </w:pPr>
    </w:p>
    <w:p w:rsidR="678E2B26" w:rsidP="678E2B26" w:rsidRDefault="678E2B26" w14:paraId="787171F3" w14:textId="222A0932">
      <w:pPr>
        <w:pStyle w:val="Normal"/>
      </w:pPr>
    </w:p>
    <w:p w:rsidR="3FD9AF85" w:rsidP="678E2B26" w:rsidRDefault="3FD9AF85" w14:paraId="3B41FF47" w14:textId="1957CC8B">
      <w:pPr>
        <w:pStyle w:val="Normal"/>
      </w:pPr>
      <w:r w:rsidR="3FD9AF85">
        <w:rPr/>
        <w:t>1.6 Binding partner prediction</w:t>
      </w:r>
    </w:p>
    <w:p w:rsidR="678E2B26" w:rsidP="678E2B26" w:rsidRDefault="678E2B26" w14:paraId="2FB7A7AB" w14:textId="24177745">
      <w:pPr>
        <w:pStyle w:val="Normal"/>
        <w:rPr>
          <w:highlight w:val="yellow"/>
        </w:rPr>
      </w:pPr>
    </w:p>
    <w:p w:rsidR="62FF1B2A" w:rsidP="678E2B26" w:rsidRDefault="62FF1B2A" w14:paraId="1B51C6D0" w14:textId="673A6E80">
      <w:pPr>
        <w:pStyle w:val="Normal"/>
        <w:rPr>
          <w:highlight w:val="yellow"/>
        </w:rPr>
      </w:pPr>
      <w:r w:rsidR="62FF1B2A">
        <w:rPr/>
        <w:t>High level</w:t>
      </w:r>
      <w:r w:rsidR="62FF1B2A">
        <w:rPr/>
        <w:t xml:space="preserve"> of molecular frustration of AD-6 in pre-fusion state </w:t>
      </w:r>
    </w:p>
    <w:p w:rsidR="678E2B26" w:rsidP="678E2B26" w:rsidRDefault="678E2B26" w14:paraId="446C8202" w14:textId="7E14A3D1">
      <w:pPr>
        <w:pStyle w:val="Normal"/>
        <w:rPr>
          <w:highlight w:val="yellow"/>
        </w:rPr>
      </w:pPr>
    </w:p>
    <w:p w:rsidR="4E9A8DE6" w:rsidP="678E2B26" w:rsidRDefault="4E9A8DE6" w14:paraId="38CB75B5" w14:textId="4379E5E5">
      <w:pPr>
        <w:pStyle w:val="Normal"/>
        <w:rPr>
          <w:highlight w:val="yellow"/>
        </w:rPr>
      </w:pPr>
      <w:r w:rsidRPr="678E2B26" w:rsidR="4E9A8DE6">
        <w:rPr>
          <w:highlight w:val="yellow"/>
        </w:rPr>
        <w:t xml:space="preserve">AD6 vs other glycoproteins. </w:t>
      </w:r>
    </w:p>
    <w:p w:rsidR="4E9A8DE6" w:rsidP="678E2B26" w:rsidRDefault="4E9A8DE6" w14:paraId="71DFFAA1" w14:textId="67445271">
      <w:pPr>
        <w:pStyle w:val="Normal"/>
        <w:rPr>
          <w:highlight w:val="yellow"/>
        </w:rPr>
      </w:pPr>
      <w:r w:rsidRPr="678E2B26" w:rsidR="4E9A8DE6">
        <w:rPr>
          <w:highlight w:val="yellow"/>
        </w:rPr>
        <w:t xml:space="preserve">Maybe try other cellular proteins </w:t>
      </w:r>
    </w:p>
    <w:p w:rsidR="678E2B26" w:rsidP="678E2B26" w:rsidRDefault="678E2B26" w14:paraId="47BEFDB6" w14:textId="6847FEAA">
      <w:pPr>
        <w:pStyle w:val="Normal"/>
        <w:rPr>
          <w:highlight w:val="yellow"/>
        </w:rPr>
      </w:pPr>
    </w:p>
    <w:p w:rsidR="4E9A8DE6" w:rsidP="678E2B26" w:rsidRDefault="4E9A8DE6" w14:paraId="2BA0E892" w14:textId="5CF0EA88">
      <w:pPr>
        <w:pStyle w:val="Normal"/>
        <w:rPr>
          <w:highlight w:val="yellow"/>
        </w:rPr>
      </w:pPr>
      <w:r w:rsidRPr="678E2B26" w:rsidR="4E9A8DE6">
        <w:rPr>
          <w:highlight w:val="yellow"/>
        </w:rPr>
        <w:t xml:space="preserve">Run through a few </w:t>
      </w:r>
      <w:r w:rsidRPr="678E2B26" w:rsidR="4E9A8DE6">
        <w:rPr>
          <w:highlight w:val="yellow"/>
        </w:rPr>
        <w:t xml:space="preserve">options </w:t>
      </w:r>
      <w:r w:rsidRPr="678E2B26" w:rsidR="1B0DC5B7">
        <w:rPr>
          <w:highlight w:val="yellow"/>
        </w:rPr>
        <w:t xml:space="preserve"> -</w:t>
      </w:r>
      <w:r w:rsidRPr="678E2B26" w:rsidR="1B0DC5B7">
        <w:rPr>
          <w:highlight w:val="yellow"/>
        </w:rPr>
        <w:t xml:space="preserve"> figures and a table mb </w:t>
      </w:r>
    </w:p>
    <w:p w:rsidR="678E2B26" w:rsidP="678E2B26" w:rsidRDefault="678E2B26" w14:paraId="768C6236" w14:textId="7796F601">
      <w:pPr>
        <w:pStyle w:val="Normal"/>
        <w:rPr>
          <w:highlight w:val="yellow"/>
        </w:rPr>
      </w:pPr>
    </w:p>
    <w:p w:rsidR="4E9A8DE6" w:rsidP="678E2B26" w:rsidRDefault="4E9A8DE6" w14:paraId="786CE780" w14:textId="7A0411DD">
      <w:pPr>
        <w:pStyle w:val="Normal"/>
        <w:rPr>
          <w:highlight w:val="yellow"/>
        </w:rPr>
      </w:pPr>
      <w:r w:rsidRPr="678E2B26" w:rsidR="4E9A8DE6">
        <w:rPr>
          <w:highlight w:val="yellow"/>
        </w:rPr>
        <w:t xml:space="preserve">gH </w:t>
      </w:r>
      <w:r w:rsidRPr="678E2B26" w:rsidR="4E9A8DE6">
        <w:rPr>
          <w:highlight w:val="yellow"/>
        </w:rPr>
        <w:t>maybe binds</w:t>
      </w:r>
      <w:r w:rsidRPr="678E2B26" w:rsidR="4E9A8DE6">
        <w:rPr>
          <w:highlight w:val="yellow"/>
        </w:rPr>
        <w:t xml:space="preserve"> </w:t>
      </w:r>
    </w:p>
    <w:p w:rsidR="678E2B26" w:rsidP="678E2B26" w:rsidRDefault="678E2B26" w14:paraId="6380E6C4" w14:textId="486DED1F">
      <w:pPr>
        <w:pStyle w:val="Normal"/>
      </w:pPr>
    </w:p>
    <w:p w:rsidR="00800605" w:rsidP="678E2B26" w:rsidRDefault="00800605" w14:paraId="282E9187" w14:textId="157B3AB5">
      <w:pPr>
        <w:pStyle w:val="ListParagraph"/>
        <w:numPr>
          <w:ilvl w:val="0"/>
          <w:numId w:val="2"/>
        </w:numPr>
        <w:rPr/>
      </w:pPr>
      <w:r w:rsidR="00800605">
        <w:rPr/>
        <w:t xml:space="preserve">In vitro </w:t>
      </w:r>
    </w:p>
    <w:p w:rsidR="678E2B26" w:rsidP="678E2B26" w:rsidRDefault="678E2B26" w14:noSpellErr="1" w14:paraId="12D034B0" w14:textId="53F7C5A1">
      <w:pPr>
        <w:pStyle w:val="Normal"/>
        <w:ind w:left="60"/>
      </w:pPr>
    </w:p>
    <w:p w:rsidR="678E2B26" w:rsidP="678E2B26" w:rsidRDefault="678E2B26" w14:paraId="6BBA1052" w14:textId="4CC65672">
      <w:pPr>
        <w:pStyle w:val="Normal"/>
        <w:ind w:left="60"/>
      </w:pPr>
    </w:p>
    <w:p w:rsidR="1B8F61E2" w:rsidP="678E2B26" w:rsidRDefault="1B8F61E2" w14:paraId="6FA9EF80" w14:textId="76637509">
      <w:pPr>
        <w:pStyle w:val="Normal"/>
        <w:ind w:left="0"/>
      </w:pPr>
      <w:r w:rsidR="1B8F61E2">
        <w:rPr/>
        <w:t>2.1 Mab purification</w:t>
      </w:r>
    </w:p>
    <w:p w:rsidR="678E2B26" w:rsidP="678E2B26" w:rsidRDefault="678E2B26" w14:paraId="2AE73659" w14:textId="4949298F">
      <w:pPr>
        <w:pStyle w:val="Normal"/>
        <w:ind w:left="0"/>
      </w:pPr>
    </w:p>
    <w:p w:rsidR="1B8F61E2" w:rsidP="678E2B26" w:rsidRDefault="1B8F61E2" w14:paraId="3C113BFA" w14:textId="6699A9D1">
      <w:pPr>
        <w:pStyle w:val="Normal"/>
        <w:ind w:left="0"/>
      </w:pPr>
      <w:r w:rsidR="1B8F61E2">
        <w:rPr/>
        <w:t xml:space="preserve">Table for nanodrop </w:t>
      </w:r>
    </w:p>
    <w:p w:rsidR="3C826C4E" w:rsidP="678E2B26" w:rsidRDefault="3C826C4E" w14:paraId="34EDD832" w14:textId="61FF3838">
      <w:pPr>
        <w:pStyle w:val="Normal"/>
        <w:ind w:left="0"/>
      </w:pPr>
      <w:r w:rsidR="3C826C4E">
        <w:rPr/>
        <w:t xml:space="preserve">See if plain media can be used as a blank instead of PBS </w:t>
      </w:r>
    </w:p>
    <w:p w:rsidR="678E2B26" w:rsidP="678E2B26" w:rsidRDefault="678E2B26" w14:paraId="19E5AAA2" w14:textId="1A1AD709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78E2B26" w:rsidTr="678E2B26" w14:paraId="6C9ED14C">
        <w:trPr>
          <w:trHeight w:val="300"/>
        </w:trPr>
        <w:tc>
          <w:tcPr>
            <w:tcW w:w="3005" w:type="dxa"/>
            <w:tcMar/>
          </w:tcPr>
          <w:p w:rsidR="678E2B26" w:rsidP="678E2B26" w:rsidRDefault="678E2B26" w14:paraId="0E4BABC6" w14:textId="748FB943">
            <w:pPr>
              <w:pStyle w:val="Normal"/>
            </w:pPr>
          </w:p>
        </w:tc>
        <w:tc>
          <w:tcPr>
            <w:tcW w:w="3005" w:type="dxa"/>
            <w:tcMar/>
          </w:tcPr>
          <w:p w:rsidR="3C826C4E" w:rsidP="678E2B26" w:rsidRDefault="3C826C4E" w14:paraId="18063332" w14:textId="33A2E130">
            <w:pPr>
              <w:pStyle w:val="Normal"/>
            </w:pPr>
            <w:r w:rsidR="3C826C4E">
              <w:rPr/>
              <w:t>12b2</w:t>
            </w:r>
          </w:p>
        </w:tc>
        <w:tc>
          <w:tcPr>
            <w:tcW w:w="3005" w:type="dxa"/>
            <w:tcMar/>
          </w:tcPr>
          <w:p w:rsidR="3C826C4E" w:rsidP="678E2B26" w:rsidRDefault="3C826C4E" w14:paraId="7B2BAF0F" w14:textId="1846EAE5">
            <w:pPr>
              <w:pStyle w:val="Normal"/>
            </w:pPr>
            <w:r w:rsidR="3C826C4E">
              <w:rPr/>
              <w:t>14f7</w:t>
            </w:r>
          </w:p>
        </w:tc>
      </w:tr>
      <w:tr w:rsidR="678E2B26" w:rsidTr="678E2B26" w14:paraId="740C2F4F">
        <w:trPr>
          <w:trHeight w:val="300"/>
        </w:trPr>
        <w:tc>
          <w:tcPr>
            <w:tcW w:w="3005" w:type="dxa"/>
            <w:tcMar/>
          </w:tcPr>
          <w:p w:rsidR="3C826C4E" w:rsidP="678E2B26" w:rsidRDefault="3C826C4E" w14:paraId="7D85B8DC" w14:textId="0C0D3D22">
            <w:pPr>
              <w:pStyle w:val="Normal"/>
            </w:pPr>
            <w:r w:rsidR="3C826C4E">
              <w:rPr/>
              <w:t xml:space="preserve">Media with </w:t>
            </w:r>
            <w:r w:rsidR="3C826C4E">
              <w:rPr/>
              <w:t xml:space="preserve">igG-free FCS </w:t>
            </w:r>
          </w:p>
        </w:tc>
        <w:tc>
          <w:tcPr>
            <w:tcW w:w="3005" w:type="dxa"/>
            <w:tcMar/>
          </w:tcPr>
          <w:p w:rsidR="678E2B26" w:rsidP="678E2B26" w:rsidRDefault="678E2B26" w14:paraId="65665ABF" w14:textId="4A5F1583">
            <w:pPr>
              <w:pStyle w:val="Normal"/>
            </w:pPr>
          </w:p>
        </w:tc>
        <w:tc>
          <w:tcPr>
            <w:tcW w:w="3005" w:type="dxa"/>
            <w:tcMar/>
          </w:tcPr>
          <w:p w:rsidR="678E2B26" w:rsidP="678E2B26" w:rsidRDefault="678E2B26" w14:paraId="0F3453FF" w14:textId="79BFE299">
            <w:pPr>
              <w:pStyle w:val="Normal"/>
            </w:pPr>
          </w:p>
        </w:tc>
      </w:tr>
      <w:tr w:rsidR="678E2B26" w:rsidTr="678E2B26" w14:paraId="464DB646">
        <w:trPr>
          <w:trHeight w:val="300"/>
        </w:trPr>
        <w:tc>
          <w:tcPr>
            <w:tcW w:w="3005" w:type="dxa"/>
            <w:tcMar/>
          </w:tcPr>
          <w:p w:rsidR="3C826C4E" w:rsidP="678E2B26" w:rsidRDefault="3C826C4E" w14:paraId="068839E7" w14:textId="5C9065FF">
            <w:pPr>
              <w:pStyle w:val="Normal"/>
            </w:pPr>
            <w:r w:rsidR="3C826C4E">
              <w:rPr/>
              <w:t>harvest</w:t>
            </w:r>
          </w:p>
        </w:tc>
        <w:tc>
          <w:tcPr>
            <w:tcW w:w="3005" w:type="dxa"/>
            <w:tcMar/>
          </w:tcPr>
          <w:p w:rsidR="3C826C4E" w:rsidP="678E2B26" w:rsidRDefault="3C826C4E" w14:paraId="799ABA08" w14:textId="522F44F3">
            <w:pPr>
              <w:pStyle w:val="Normal"/>
            </w:pPr>
            <w:r w:rsidR="3C826C4E">
              <w:rPr/>
              <w:t>1.646</w:t>
            </w:r>
          </w:p>
        </w:tc>
        <w:tc>
          <w:tcPr>
            <w:tcW w:w="3005" w:type="dxa"/>
            <w:tcMar/>
          </w:tcPr>
          <w:p w:rsidR="3C826C4E" w:rsidP="678E2B26" w:rsidRDefault="3C826C4E" w14:paraId="2F68F2A1" w14:textId="318CF63D">
            <w:pPr>
              <w:pStyle w:val="Normal"/>
            </w:pPr>
            <w:r w:rsidR="3C826C4E">
              <w:rPr/>
              <w:t>1.722</w:t>
            </w:r>
          </w:p>
        </w:tc>
      </w:tr>
      <w:tr w:rsidR="678E2B26" w:rsidTr="678E2B26" w14:paraId="55CA08FE">
        <w:trPr>
          <w:trHeight w:val="300"/>
        </w:trPr>
        <w:tc>
          <w:tcPr>
            <w:tcW w:w="3005" w:type="dxa"/>
            <w:tcMar/>
          </w:tcPr>
          <w:p w:rsidR="3C826C4E" w:rsidP="678E2B26" w:rsidRDefault="3C826C4E" w14:paraId="2873B7FD" w14:textId="08243D3B">
            <w:pPr>
              <w:pStyle w:val="Normal"/>
            </w:pPr>
            <w:r w:rsidR="3C826C4E">
              <w:rPr/>
              <w:t>Overnight fraction</w:t>
            </w:r>
          </w:p>
        </w:tc>
        <w:tc>
          <w:tcPr>
            <w:tcW w:w="3005" w:type="dxa"/>
            <w:tcMar/>
          </w:tcPr>
          <w:p w:rsidR="3C826C4E" w:rsidP="678E2B26" w:rsidRDefault="3C826C4E" w14:paraId="2313BC48" w14:textId="485D3E2A">
            <w:pPr>
              <w:pStyle w:val="Normal"/>
            </w:pPr>
            <w:r w:rsidR="3C826C4E">
              <w:rPr/>
              <w:t>1.607</w:t>
            </w:r>
          </w:p>
        </w:tc>
        <w:tc>
          <w:tcPr>
            <w:tcW w:w="3005" w:type="dxa"/>
            <w:tcMar/>
          </w:tcPr>
          <w:p w:rsidR="3C826C4E" w:rsidP="678E2B26" w:rsidRDefault="3C826C4E" w14:paraId="29A49446" w14:textId="08B10756">
            <w:pPr>
              <w:pStyle w:val="Normal"/>
            </w:pPr>
            <w:r w:rsidR="3C826C4E">
              <w:rPr/>
              <w:t>1.690</w:t>
            </w:r>
          </w:p>
        </w:tc>
      </w:tr>
      <w:tr w:rsidR="678E2B26" w:rsidTr="678E2B26" w14:paraId="6D04D3FD">
        <w:trPr>
          <w:trHeight w:val="300"/>
        </w:trPr>
        <w:tc>
          <w:tcPr>
            <w:tcW w:w="3005" w:type="dxa"/>
            <w:tcMar/>
          </w:tcPr>
          <w:p w:rsidR="3C826C4E" w:rsidP="678E2B26" w:rsidRDefault="3C826C4E" w14:paraId="0135A818" w14:textId="636CE83D">
            <w:pPr>
              <w:pStyle w:val="Normal"/>
            </w:pPr>
            <w:r w:rsidR="3C826C4E">
              <w:rPr/>
              <w:t>PBS wash</w:t>
            </w:r>
          </w:p>
        </w:tc>
        <w:tc>
          <w:tcPr>
            <w:tcW w:w="3005" w:type="dxa"/>
            <w:tcMar/>
          </w:tcPr>
          <w:p w:rsidR="3C826C4E" w:rsidP="678E2B26" w:rsidRDefault="3C826C4E" w14:paraId="6FFD848E" w14:textId="7103BC0F">
            <w:pPr>
              <w:pStyle w:val="Normal"/>
            </w:pPr>
            <w:r w:rsidR="3C826C4E">
              <w:rPr/>
              <w:t>0</w:t>
            </w:r>
          </w:p>
        </w:tc>
        <w:tc>
          <w:tcPr>
            <w:tcW w:w="3005" w:type="dxa"/>
            <w:tcMar/>
          </w:tcPr>
          <w:p w:rsidR="3C826C4E" w:rsidP="678E2B26" w:rsidRDefault="3C826C4E" w14:paraId="7F1DFB23" w14:textId="147FF3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826C4E">
              <w:rPr/>
              <w:t>0</w:t>
            </w:r>
          </w:p>
        </w:tc>
      </w:tr>
      <w:tr w:rsidR="678E2B26" w:rsidTr="678E2B26" w14:paraId="55CF1CDA">
        <w:trPr>
          <w:trHeight w:val="300"/>
        </w:trPr>
        <w:tc>
          <w:tcPr>
            <w:tcW w:w="3005" w:type="dxa"/>
            <w:tcMar/>
          </w:tcPr>
          <w:p w:rsidR="3C826C4E" w:rsidP="678E2B26" w:rsidRDefault="3C826C4E" w14:paraId="3AD9B454" w14:textId="0917B082">
            <w:pPr>
              <w:pStyle w:val="Normal"/>
            </w:pPr>
            <w:r w:rsidR="3C826C4E">
              <w:rPr/>
              <w:t>Eluate (Glycine + Tris-Base)</w:t>
            </w:r>
          </w:p>
        </w:tc>
        <w:tc>
          <w:tcPr>
            <w:tcW w:w="3005" w:type="dxa"/>
            <w:tcMar/>
          </w:tcPr>
          <w:p w:rsidR="3C826C4E" w:rsidP="678E2B26" w:rsidRDefault="3C826C4E" w14:paraId="0F8FBE95" w14:textId="60964E28">
            <w:pPr>
              <w:pStyle w:val="Normal"/>
            </w:pPr>
            <w:r w:rsidR="3C826C4E">
              <w:rPr/>
              <w:t>0</w:t>
            </w:r>
          </w:p>
        </w:tc>
        <w:tc>
          <w:tcPr>
            <w:tcW w:w="3005" w:type="dxa"/>
            <w:tcMar/>
          </w:tcPr>
          <w:p w:rsidR="3C826C4E" w:rsidP="678E2B26" w:rsidRDefault="3C826C4E" w14:paraId="257EAD21" w14:textId="594EB805">
            <w:pPr>
              <w:pStyle w:val="Normal"/>
            </w:pPr>
            <w:r w:rsidR="3C826C4E">
              <w:rPr/>
              <w:t>0</w:t>
            </w:r>
          </w:p>
        </w:tc>
      </w:tr>
      <w:tr w:rsidR="678E2B26" w:rsidTr="678E2B26" w14:paraId="37CC7A1E">
        <w:trPr>
          <w:trHeight w:val="300"/>
        </w:trPr>
        <w:tc>
          <w:tcPr>
            <w:tcW w:w="3005" w:type="dxa"/>
            <w:tcMar/>
          </w:tcPr>
          <w:p w:rsidR="3C826C4E" w:rsidP="678E2B26" w:rsidRDefault="3C826C4E" w14:paraId="1AF34C60" w14:textId="68BC2049">
            <w:pPr>
              <w:pStyle w:val="Normal"/>
            </w:pPr>
            <w:r w:rsidR="3C826C4E">
              <w:rPr/>
              <w:t>Concentrator flow through</w:t>
            </w:r>
          </w:p>
        </w:tc>
        <w:tc>
          <w:tcPr>
            <w:tcW w:w="3005" w:type="dxa"/>
            <w:tcMar/>
          </w:tcPr>
          <w:p w:rsidR="3C826C4E" w:rsidP="678E2B26" w:rsidRDefault="3C826C4E" w14:paraId="4DE900E5" w14:textId="299755F8">
            <w:pPr>
              <w:pStyle w:val="Normal"/>
            </w:pPr>
            <w:r w:rsidR="3C826C4E">
              <w:rPr/>
              <w:t>0</w:t>
            </w:r>
          </w:p>
        </w:tc>
        <w:tc>
          <w:tcPr>
            <w:tcW w:w="3005" w:type="dxa"/>
            <w:tcMar/>
          </w:tcPr>
          <w:p w:rsidR="3C826C4E" w:rsidP="678E2B26" w:rsidRDefault="3C826C4E" w14:paraId="6460B567" w14:textId="78DB16A9">
            <w:pPr>
              <w:pStyle w:val="Normal"/>
            </w:pPr>
            <w:r w:rsidR="3C826C4E">
              <w:rPr/>
              <w:t>0</w:t>
            </w:r>
          </w:p>
        </w:tc>
      </w:tr>
      <w:tr w:rsidR="678E2B26" w:rsidTr="678E2B26" w14:paraId="5B08F872">
        <w:trPr>
          <w:trHeight w:val="300"/>
        </w:trPr>
        <w:tc>
          <w:tcPr>
            <w:tcW w:w="3005" w:type="dxa"/>
            <w:tcMar/>
          </w:tcPr>
          <w:p w:rsidR="3C826C4E" w:rsidP="678E2B26" w:rsidRDefault="3C826C4E" w14:paraId="22D08C17" w14:textId="759FD44E">
            <w:pPr>
              <w:pStyle w:val="Normal"/>
            </w:pPr>
            <w:r w:rsidR="3C826C4E">
              <w:rPr/>
              <w:t xml:space="preserve">Final retainant </w:t>
            </w:r>
          </w:p>
        </w:tc>
        <w:tc>
          <w:tcPr>
            <w:tcW w:w="3005" w:type="dxa"/>
            <w:tcMar/>
          </w:tcPr>
          <w:p w:rsidR="3C826C4E" w:rsidP="678E2B26" w:rsidRDefault="3C826C4E" w14:paraId="12E63CA9" w14:textId="6E5F0A62">
            <w:pPr>
              <w:pStyle w:val="Normal"/>
            </w:pPr>
            <w:r w:rsidR="3C826C4E">
              <w:rPr/>
              <w:t>0</w:t>
            </w:r>
          </w:p>
        </w:tc>
        <w:tc>
          <w:tcPr>
            <w:tcW w:w="3005" w:type="dxa"/>
            <w:tcMar/>
          </w:tcPr>
          <w:p w:rsidR="3C826C4E" w:rsidP="678E2B26" w:rsidRDefault="3C826C4E" w14:paraId="74B68C89" w14:textId="56F5DED1">
            <w:pPr>
              <w:pStyle w:val="Normal"/>
            </w:pPr>
            <w:r w:rsidR="3C826C4E">
              <w:rPr/>
              <w:t>0</w:t>
            </w:r>
          </w:p>
        </w:tc>
      </w:tr>
    </w:tbl>
    <w:p w:rsidR="678E2B26" w:rsidP="678E2B26" w:rsidRDefault="678E2B26" w14:paraId="1D7C02B0" w14:textId="1FACBBC1">
      <w:pPr>
        <w:pStyle w:val="Normal"/>
        <w:ind w:left="0"/>
      </w:pPr>
    </w:p>
    <w:p w:rsidR="1B8F61E2" w:rsidP="678E2B26" w:rsidRDefault="1B8F61E2" w14:paraId="57E575BB" w14:textId="40F3DBB4">
      <w:pPr>
        <w:pStyle w:val="Normal"/>
        <w:ind w:left="0"/>
      </w:pPr>
      <w:r w:rsidR="1B8F61E2">
        <w:rPr/>
        <w:t xml:space="preserve">Decision to not purify for some experiments </w:t>
      </w:r>
      <w:r w:rsidR="22E0AD20">
        <w:rPr/>
        <w:t xml:space="preserve">as preliminary ELISA has shown a reasonable level of binding </w:t>
      </w:r>
      <w:r w:rsidR="49F548F5">
        <w:rPr/>
        <w:t xml:space="preserve">and difficulty to purify. </w:t>
      </w:r>
    </w:p>
    <w:p w:rsidR="678E2B26" w:rsidP="678E2B26" w:rsidRDefault="678E2B26" w14:paraId="6A037059" w14:textId="1A58A4AF">
      <w:pPr>
        <w:pStyle w:val="Normal"/>
        <w:ind w:left="0"/>
      </w:pPr>
    </w:p>
    <w:p w:rsidR="00800605" w:rsidP="00800605" w:rsidRDefault="00800605" w14:paraId="0AFC480F" w14:textId="471C34EE">
      <w:pPr>
        <w:ind w:left="60"/>
      </w:pPr>
      <w:r w:rsidR="43B090AE">
        <w:rPr/>
        <w:t>2.1 ELISA</w:t>
      </w:r>
    </w:p>
    <w:p w:rsidR="00800605" w:rsidP="678E2B26" w:rsidRDefault="00800605" w14:paraId="28EF3D56" w14:textId="49060C9F">
      <w:pPr>
        <w:pStyle w:val="Normal"/>
        <w:ind w:left="60"/>
      </w:pPr>
    </w:p>
    <w:p w:rsidR="00800605" w:rsidP="678E2B26" w:rsidRDefault="00800605" w14:paraId="108E0C2D" w14:textId="696AA0CE">
      <w:pPr>
        <w:pStyle w:val="Normal"/>
        <w:ind w:left="60"/>
      </w:pPr>
      <w:r w:rsidR="74382571">
        <w:rPr/>
        <w:t xml:space="preserve">2.1.1 </w:t>
      </w:r>
    </w:p>
    <w:p w:rsidR="00800605" w:rsidP="678E2B26" w:rsidRDefault="00800605" w14:paraId="62E159B2" w14:textId="4FAFA84D">
      <w:pPr>
        <w:pStyle w:val="Normal"/>
        <w:ind w:left="60"/>
      </w:pPr>
      <w:r w:rsidR="74382571">
        <w:rPr/>
        <w:t>AD6 pab</w:t>
      </w:r>
    </w:p>
    <w:p w:rsidR="00800605" w:rsidP="678E2B26" w:rsidRDefault="00800605" w14:paraId="63CFF693" w14:textId="34FC984F">
      <w:pPr>
        <w:pStyle w:val="Normal"/>
        <w:ind w:left="60"/>
      </w:pPr>
      <w:r w:rsidR="74382571">
        <w:rPr/>
        <w:t>On CMVs, on HHVs</w:t>
      </w:r>
    </w:p>
    <w:p w:rsidR="00800605" w:rsidP="678E2B26" w:rsidRDefault="00800605" w14:paraId="28089F9B" w14:textId="535CB10D">
      <w:pPr>
        <w:pStyle w:val="Normal"/>
        <w:ind w:left="60"/>
      </w:pPr>
    </w:p>
    <w:p w:rsidR="00800605" w:rsidP="678E2B26" w:rsidRDefault="00800605" w14:paraId="6286734A" w14:textId="7DBADCD7">
      <w:pPr>
        <w:pStyle w:val="Normal"/>
        <w:ind w:left="60"/>
      </w:pPr>
      <w:r w:rsidR="74382571">
        <w:rPr/>
        <w:t>2.1.2</w:t>
      </w:r>
    </w:p>
    <w:p w:rsidR="00800605" w:rsidP="678E2B26" w:rsidRDefault="00800605" w14:paraId="0389CF39" w14:textId="2A54C533">
      <w:pPr>
        <w:pStyle w:val="Normal"/>
        <w:ind w:left="60"/>
      </w:pPr>
      <w:r w:rsidR="74382571">
        <w:rPr/>
        <w:t>AD6 mabs</w:t>
      </w:r>
    </w:p>
    <w:p w:rsidR="00800605" w:rsidP="678E2B26" w:rsidRDefault="00800605" w14:paraId="28533993" w14:textId="1CF95F8B">
      <w:pPr>
        <w:pStyle w:val="Normal"/>
        <w:ind w:left="60"/>
      </w:pPr>
      <w:r w:rsidR="2D64D642">
        <w:rPr/>
        <w:t>unpurified</w:t>
      </w:r>
    </w:p>
    <w:p w:rsidR="00800605" w:rsidP="678E2B26" w:rsidRDefault="00800605" w14:paraId="1FB08A51" w14:textId="34FC984F">
      <w:pPr>
        <w:pStyle w:val="Normal"/>
        <w:ind w:left="60"/>
      </w:pPr>
      <w:r w:rsidR="74382571">
        <w:rPr/>
        <w:t>On CMVs, on HHVs</w:t>
      </w:r>
    </w:p>
    <w:p w:rsidR="00800605" w:rsidP="678E2B26" w:rsidRDefault="00800605" w14:paraId="047808DC" w14:textId="714057AA">
      <w:pPr>
        <w:pStyle w:val="Normal"/>
        <w:ind w:left="60"/>
      </w:pPr>
    </w:p>
    <w:p w:rsidR="00800605" w:rsidP="678E2B26" w:rsidRDefault="00800605" w14:paraId="4484FC98" w14:textId="2446A769">
      <w:pPr>
        <w:pStyle w:val="Normal"/>
        <w:ind w:left="60"/>
      </w:pPr>
      <w:r w:rsidR="2A03C0AB">
        <w:rPr/>
        <w:t xml:space="preserve">Compare the two, one is rly good one is broad </w:t>
      </w:r>
    </w:p>
    <w:p w:rsidR="00800605" w:rsidP="678E2B26" w:rsidRDefault="00800605" w14:paraId="4871F36A" w14:textId="02D51386">
      <w:pPr>
        <w:pStyle w:val="Normal"/>
        <w:ind w:left="60"/>
      </w:pPr>
    </w:p>
    <w:p w:rsidR="00800605" w:rsidP="678E2B26" w:rsidRDefault="00800605" w14:paraId="306D7929" w14:textId="559B7A14">
      <w:pPr>
        <w:pStyle w:val="Normal"/>
        <w:ind w:left="60"/>
      </w:pPr>
      <w:r w:rsidR="43B090AE">
        <w:rPr/>
        <w:t xml:space="preserve">2.2 </w:t>
      </w:r>
      <w:r w:rsidR="3E4DD713">
        <w:rPr/>
        <w:t>Virus s</w:t>
      </w:r>
      <w:r w:rsidR="43B090AE">
        <w:rPr/>
        <w:t>pread</w:t>
      </w:r>
      <w:r w:rsidR="0D3D68C1">
        <w:rPr/>
        <w:t xml:space="preserve"> assay</w:t>
      </w:r>
    </w:p>
    <w:p w:rsidR="00800605" w:rsidP="678E2B26" w:rsidRDefault="00800605" w14:paraId="71193D80" w14:textId="75384BC8">
      <w:pPr>
        <w:pStyle w:val="Normal"/>
        <w:ind w:left="60"/>
      </w:pPr>
    </w:p>
    <w:p w:rsidR="00800605" w:rsidP="678E2B26" w:rsidRDefault="00800605" w14:paraId="151584E2" w14:textId="62074B3D">
      <w:pPr>
        <w:pStyle w:val="Normal"/>
        <w:ind w:left="60"/>
      </w:pPr>
      <w:r w:rsidR="15C3F4D2">
        <w:rPr/>
        <w:t xml:space="preserve">2.2.1 </w:t>
      </w:r>
      <w:r w:rsidR="35A63A7A">
        <w:rPr/>
        <w:t>Viral spread vs AD-6</w:t>
      </w:r>
      <w:r w:rsidR="35A63A7A">
        <w:rPr/>
        <w:t xml:space="preserve"> </w:t>
      </w:r>
      <w:r w:rsidR="35A63A7A">
        <w:rPr/>
        <w:t>pa</w:t>
      </w:r>
      <w:r w:rsidR="35A63A7A">
        <w:rPr/>
        <w:t>b</w:t>
      </w:r>
    </w:p>
    <w:p w:rsidR="00800605" w:rsidP="678E2B26" w:rsidRDefault="00800605" w14:paraId="2B58A121" w14:textId="5691178C">
      <w:pPr>
        <w:pStyle w:val="Normal"/>
        <w:ind w:left="60"/>
      </w:pPr>
    </w:p>
    <w:p w:rsidR="00800605" w:rsidP="678E2B26" w:rsidRDefault="00800605" w14:paraId="6D2C1D5E" w14:textId="07E13480">
      <w:pPr>
        <w:pStyle w:val="Normal"/>
        <w:ind w:left="60"/>
      </w:pPr>
      <w:r w:rsidR="3CACBF2B">
        <w:rPr/>
        <w:t>HCMV</w:t>
      </w:r>
    </w:p>
    <w:p w:rsidR="00800605" w:rsidP="678E2B26" w:rsidRDefault="00800605" w14:paraId="4BA981D1" w14:textId="3B15B49F">
      <w:pPr>
        <w:pStyle w:val="Normal"/>
        <w:ind w:left="60"/>
      </w:pPr>
      <w:r w:rsidR="3CACBF2B">
        <w:rPr/>
        <w:t>HSV1</w:t>
      </w:r>
    </w:p>
    <w:p w:rsidR="00800605" w:rsidP="678E2B26" w:rsidRDefault="00800605" w14:paraId="6019B7FD" w14:textId="5356AE43">
      <w:pPr>
        <w:pStyle w:val="Normal"/>
        <w:ind w:left="60"/>
      </w:pPr>
      <w:r w:rsidR="3CACBF2B">
        <w:rPr/>
        <w:t>HVS</w:t>
      </w:r>
    </w:p>
    <w:p w:rsidR="00800605" w:rsidP="678E2B26" w:rsidRDefault="00800605" w14:paraId="065A9F75" w14:textId="225B6087">
      <w:pPr>
        <w:pStyle w:val="Normal"/>
        <w:ind w:left="60"/>
      </w:pPr>
      <w:r w:rsidR="3CACBF2B">
        <w:rPr/>
        <w:t>VZV</w:t>
      </w:r>
    </w:p>
    <w:p w:rsidR="00800605" w:rsidP="678E2B26" w:rsidRDefault="00800605" w14:paraId="465DED20" w14:textId="40056B0A">
      <w:pPr>
        <w:pStyle w:val="Normal"/>
        <w:ind w:left="60"/>
      </w:pPr>
    </w:p>
    <w:p w:rsidR="00800605" w:rsidP="678E2B26" w:rsidRDefault="00800605" w14:paraId="49C04566" w14:textId="1AA16C1F">
      <w:pPr>
        <w:pStyle w:val="Normal"/>
        <w:ind w:left="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78E2B26" w:rsidR="3CACBF2B">
        <w:rPr>
          <w:rFonts w:ascii="Calibri" w:hAnsi="Calibri" w:eastAsia="Calibri" w:cs="Calibri"/>
          <w:noProof w:val="0"/>
          <w:sz w:val="24"/>
          <w:szCs w:val="24"/>
          <w:lang w:val="en-GB"/>
        </w:rPr>
        <w:t>In conclusion, HCMV AD-6 polyclonal antibody seems to exhibit a protective effect against HSV-1 and HVS cell-to-cell spread.</w:t>
      </w:r>
    </w:p>
    <w:p w:rsidR="00800605" w:rsidP="678E2B26" w:rsidRDefault="00800605" w14:paraId="76525624" w14:textId="3132AE75">
      <w:pPr>
        <w:pStyle w:val="Normal"/>
        <w:ind w:left="60"/>
      </w:pPr>
    </w:p>
    <w:p w:rsidR="00800605" w:rsidP="678E2B26" w:rsidRDefault="00800605" w14:paraId="3961977B" w14:textId="22A126DD">
      <w:pPr>
        <w:pStyle w:val="Normal"/>
        <w:ind w:left="60"/>
      </w:pPr>
    </w:p>
    <w:p w:rsidR="00800605" w:rsidP="678E2B26" w:rsidRDefault="00800605" w14:paraId="2BE23D68" w14:textId="473B82DA">
      <w:pPr>
        <w:pStyle w:val="Normal"/>
        <w:ind w:left="60"/>
      </w:pPr>
      <w:r w:rsidR="35A63A7A">
        <w:rPr/>
        <w:t>2.2.2 Viral spread vs AD-6 mab</w:t>
      </w:r>
    </w:p>
    <w:p w:rsidR="00800605" w:rsidP="678E2B26" w:rsidRDefault="00800605" w14:paraId="4EFC192C" w14:textId="6824FBF6">
      <w:pPr>
        <w:pStyle w:val="Normal"/>
        <w:ind w:left="60"/>
      </w:pPr>
    </w:p>
    <w:p w:rsidR="00800605" w:rsidP="678E2B26" w:rsidRDefault="00800605" w14:paraId="1E4AE1FC" w14:textId="4574276E">
      <w:pPr>
        <w:pStyle w:val="Normal"/>
        <w:ind w:left="60"/>
      </w:pPr>
      <w:r w:rsidR="35A63A7A">
        <w:rPr/>
        <w:t xml:space="preserve">HCMV </w:t>
      </w:r>
      <w:r w:rsidR="15C3F4D2">
        <w:rPr/>
        <w:t>AD6 mab</w:t>
      </w:r>
      <w:r w:rsidR="5A5BAADC">
        <w:rPr/>
        <w:t xml:space="preserve"> – Mara's data, my own data </w:t>
      </w:r>
      <w:r w:rsidR="3AD4B78C">
        <w:rPr/>
        <w:t>(</w:t>
      </w:r>
      <w:r w:rsidR="5A5BAADC">
        <w:rPr/>
        <w:t xml:space="preserve">? </w:t>
      </w:r>
      <w:r w:rsidR="27F4FE4A">
        <w:rPr/>
        <w:t>)</w:t>
      </w:r>
    </w:p>
    <w:p w:rsidR="00800605" w:rsidP="678E2B26" w:rsidRDefault="00800605" w14:paraId="29B72310" w14:textId="3DF6CAD0">
      <w:pPr>
        <w:pStyle w:val="Normal"/>
        <w:ind w:left="60"/>
      </w:pPr>
    </w:p>
    <w:p w:rsidR="00800605" w:rsidP="678E2B26" w:rsidRDefault="00800605" w14:paraId="6F8F670A" w14:textId="7A0ACCF4">
      <w:pPr>
        <w:pStyle w:val="Normal"/>
        <w:ind w:left="60"/>
      </w:pPr>
      <w:r w:rsidR="62154BEF">
        <w:rPr/>
        <w:t>HSV1</w:t>
      </w:r>
      <w:r w:rsidR="0B589FDA">
        <w:rPr/>
        <w:t xml:space="preserve"> – preliminary data with the undiluted antibody</w:t>
      </w:r>
    </w:p>
    <w:p w:rsidR="00800605" w:rsidP="678E2B26" w:rsidRDefault="00800605" w14:paraId="4B2EC699" w14:textId="18F66610">
      <w:pPr>
        <w:pStyle w:val="Normal"/>
        <w:ind w:left="60"/>
      </w:pPr>
    </w:p>
    <w:p w:rsidR="00800605" w:rsidP="678E2B26" w:rsidRDefault="00800605" w14:paraId="54FF5CD6" w14:textId="48C0318E">
      <w:pPr>
        <w:pStyle w:val="Normal"/>
        <w:ind w:left="60"/>
      </w:pPr>
    </w:p>
    <w:p w:rsidR="00800605" w:rsidP="678E2B26" w:rsidRDefault="00800605" w14:paraId="1E4130A0" w14:textId="770A7A1E">
      <w:pPr>
        <w:pStyle w:val="Normal"/>
        <w:ind w:left="60"/>
      </w:pPr>
    </w:p>
    <w:p w:rsidR="00800605" w:rsidP="678E2B26" w:rsidRDefault="00800605" w14:paraId="417DA1B4" w14:textId="620A4D9F">
      <w:pPr>
        <w:pStyle w:val="Normal"/>
        <w:ind w:left="60"/>
      </w:pPr>
    </w:p>
    <w:p w:rsidR="00800605" w:rsidP="678E2B26" w:rsidRDefault="00800605" w14:paraId="3CB31C26" w14:textId="3C6AE0FA">
      <w:pPr>
        <w:pStyle w:val="Normal"/>
        <w:ind w:left="60"/>
      </w:pPr>
    </w:p>
    <w:p w:rsidR="00800605" w:rsidP="678E2B26" w:rsidRDefault="00800605" w14:paraId="5AE9E00A" w14:textId="50878192">
      <w:pPr>
        <w:pStyle w:val="Normal"/>
      </w:pPr>
      <w:r w:rsidR="3B77991E">
        <w:rPr/>
        <w:t>2.3 Neutralisations</w:t>
      </w:r>
    </w:p>
    <w:p w:rsidR="00800605" w:rsidP="678E2B26" w:rsidRDefault="00800605" w14:paraId="57D17F7A" w14:textId="2E878976">
      <w:pPr>
        <w:pStyle w:val="Normal"/>
        <w:ind w:left="60"/>
      </w:pPr>
    </w:p>
    <w:p w:rsidR="00800605" w:rsidP="678E2B26" w:rsidRDefault="00800605" w14:paraId="491142C4" w14:textId="0F07775F">
      <w:pPr>
        <w:pStyle w:val="Normal"/>
        <w:ind w:left="60"/>
      </w:pPr>
      <w:r w:rsidR="3B77991E">
        <w:rPr/>
        <w:t>2.2.1 HCMV</w:t>
      </w:r>
    </w:p>
    <w:p w:rsidR="00800605" w:rsidP="678E2B26" w:rsidRDefault="00800605" w14:paraId="0F8F385F" w14:textId="0973A06C">
      <w:pPr>
        <w:pStyle w:val="Normal"/>
        <w:suppressLineNumbers w:val="0"/>
        <w:bidi w:val="0"/>
        <w:spacing w:before="0" w:beforeAutospacing="off" w:after="0" w:afterAutospacing="off" w:line="259" w:lineRule="auto"/>
        <w:ind w:left="60" w:right="0"/>
        <w:jc w:val="left"/>
      </w:pPr>
      <w:r w:rsidR="3B77991E">
        <w:rPr/>
        <w:t>Peptides and cell types</w:t>
      </w:r>
    </w:p>
    <w:p w:rsidR="00800605" w:rsidP="678E2B26" w:rsidRDefault="00800605" w14:paraId="3210558C" w14:textId="46296948">
      <w:pPr>
        <w:pStyle w:val="Normal"/>
        <w:ind w:left="60"/>
      </w:pPr>
    </w:p>
    <w:p w:rsidR="00800605" w:rsidP="678E2B26" w:rsidRDefault="00800605" w14:paraId="7EAB14FA" w14:textId="770A7A1E">
      <w:pPr>
        <w:pStyle w:val="Normal"/>
        <w:ind w:left="60"/>
      </w:pPr>
    </w:p>
    <w:p w:rsidR="00800605" w:rsidP="678E2B26" w:rsidRDefault="00800605" w14:paraId="383232C2" w14:textId="56BE2217">
      <w:pPr>
        <w:pStyle w:val="Normal"/>
        <w:ind w:left="60"/>
      </w:pPr>
      <w:bookmarkStart w:name="_Int_dKIxdsiG" w:id="773007564"/>
      <w:r w:rsidR="3B77991E">
        <w:rPr/>
        <w:t xml:space="preserve">2.2.1 HSV1 </w:t>
      </w:r>
      <w:bookmarkEnd w:id="773007564"/>
    </w:p>
    <w:p w:rsidR="00800605" w:rsidP="678E2B26" w:rsidRDefault="00800605" w14:paraId="0C46DF3F" w14:textId="063AE2ED">
      <w:pPr>
        <w:pStyle w:val="Normal"/>
        <w:ind w:left="60"/>
      </w:pPr>
    </w:p>
    <w:p w:rsidR="00800605" w:rsidP="678E2B26" w:rsidRDefault="00800605" w14:paraId="23BF49F5" w14:textId="2984B845">
      <w:pPr>
        <w:pStyle w:val="Normal"/>
        <w:suppressLineNumbers w:val="0"/>
        <w:bidi w:val="0"/>
        <w:spacing w:before="0" w:beforeAutospacing="off" w:after="0" w:afterAutospacing="off" w:line="259" w:lineRule="auto"/>
        <w:ind w:left="60" w:right="0"/>
        <w:jc w:val="left"/>
      </w:pPr>
      <w:r w:rsidR="3B77991E">
        <w:rPr/>
        <w:t>Peptides and cell types</w:t>
      </w:r>
    </w:p>
    <w:p w:rsidR="00800605" w:rsidP="678E2B26" w:rsidRDefault="00800605" w14:paraId="04CA359A" w14:textId="3CFFCA48">
      <w:pPr>
        <w:pStyle w:val="Normal"/>
        <w:ind w:left="60"/>
      </w:pPr>
    </w:p>
    <w:p w:rsidR="6B1B304F" w:rsidP="678E2B26" w:rsidRDefault="6B1B304F" w14:paraId="28A41E42" w14:textId="6197D201">
      <w:pPr>
        <w:pStyle w:val="Normal"/>
        <w:ind w:left="60"/>
      </w:pPr>
      <w:r w:rsidR="6B1B304F">
        <w:rPr/>
        <w:t>Preliminary data</w:t>
      </w:r>
    </w:p>
    <w:p w:rsidR="678E2B26" w:rsidP="678E2B26" w:rsidRDefault="678E2B26" w14:paraId="432A4667" w14:textId="4CFFC33C">
      <w:pPr>
        <w:pStyle w:val="Normal"/>
        <w:ind w:left="60"/>
      </w:pPr>
    </w:p>
    <w:p w:rsidR="00800605" w:rsidP="00800605" w:rsidRDefault="00800605" w14:paraId="5B7440F6" w14:textId="394378BB">
      <w:pPr>
        <w:ind w:left="60"/>
      </w:pPr>
      <w:r w:rsidR="3B77991E">
        <w:rPr/>
        <w:t xml:space="preserve">[Als </w:t>
      </w:r>
      <w:r w:rsidR="3B77991E">
        <w:rPr/>
        <w:t>data ?</w:t>
      </w:r>
      <w:r w:rsidR="3B77991E">
        <w:rPr/>
        <w:t xml:space="preserve"> ] </w:t>
      </w:r>
      <w:r w:rsidR="046885C8">
        <w:rPr/>
        <w:t>Mebe discuss with him</w:t>
      </w:r>
      <w:r w:rsidR="35CEEC32">
        <w:rPr/>
        <w:t xml:space="preserve"> – read through his report </w:t>
      </w:r>
    </w:p>
    <w:p w:rsidR="678E2B26" w:rsidP="678E2B26" w:rsidRDefault="678E2B26" w14:paraId="34A79B61" w14:textId="4BFD1381">
      <w:pPr>
        <w:pStyle w:val="Normal"/>
        <w:ind w:left="60"/>
      </w:pPr>
    </w:p>
    <w:p w:rsidR="3B77991E" w:rsidP="678E2B26" w:rsidRDefault="3B77991E" w14:paraId="4B38BE77" w14:textId="5726F7B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3B77991E">
        <w:rPr/>
        <w:t>2.4 Binding assay</w:t>
      </w:r>
    </w:p>
    <w:p w:rsidR="678E2B26" w:rsidP="678E2B26" w:rsidRDefault="678E2B26" w14:paraId="1B06FEF0" w14:textId="3E3FD684">
      <w:pPr>
        <w:pStyle w:val="Normal"/>
        <w:ind w:left="60"/>
      </w:pPr>
    </w:p>
    <w:p w:rsidR="7DA870AE" w:rsidP="678E2B26" w:rsidRDefault="7DA870AE" w14:paraId="09326327" w14:textId="6197D201">
      <w:pPr>
        <w:pStyle w:val="Normal"/>
        <w:ind w:left="60"/>
      </w:pPr>
      <w:r w:rsidR="7DA870AE">
        <w:rPr/>
        <w:t>Preliminary data</w:t>
      </w:r>
    </w:p>
    <w:p w:rsidR="678E2B26" w:rsidP="678E2B26" w:rsidRDefault="678E2B26" w14:paraId="6B78BF8C" w14:textId="36E7F0C6">
      <w:pPr>
        <w:pStyle w:val="Normal"/>
        <w:ind w:left="60"/>
      </w:pPr>
    </w:p>
    <w:p w:rsidR="288AC418" w:rsidP="678E2B26" w:rsidRDefault="288AC418" w14:paraId="379E7C84" w14:textId="466C098F">
      <w:pPr>
        <w:pStyle w:val="Normal"/>
        <w:ind w:left="60"/>
      </w:pPr>
      <w:r w:rsidR="288AC418">
        <w:rPr/>
        <w:t xml:space="preserve">Check if His6-AD6 has the same structure as regular AD6 – atlas </w:t>
      </w:r>
    </w:p>
    <w:p w:rsidR="00800605" w:rsidP="00800605" w:rsidRDefault="00800605" w14:paraId="2B05CCC6" w14:textId="36D19530">
      <w:pPr>
        <w:ind w:left="60"/>
      </w:pPr>
      <w:r w:rsidR="3B77991E">
        <w:rPr/>
        <w:t xml:space="preserve">Infection % and PCR </w:t>
      </w:r>
    </w:p>
    <w:p w:rsidR="00800605" w:rsidP="678E2B26" w:rsidRDefault="00800605" w14:paraId="3282F143" w14:textId="159588B2">
      <w:pPr>
        <w:pStyle w:val="Normal"/>
        <w:ind w:left="60"/>
      </w:pPr>
    </w:p>
    <w:p w:rsidR="00800605" w:rsidP="678E2B26" w:rsidRDefault="00800605" w14:paraId="2E7C4839" w14:textId="1B47817D">
      <w:pPr>
        <w:pStyle w:val="Normal"/>
        <w:ind w:left="60"/>
      </w:pPr>
      <w:r w:rsidR="2DDD44DF">
        <w:rPr/>
        <w:t>Infection 20 times higher</w:t>
      </w:r>
    </w:p>
    <w:p w:rsidR="00800605" w:rsidP="678E2B26" w:rsidRDefault="00800605" w14:paraId="0FB72714" w14:textId="518704A0">
      <w:pPr>
        <w:pStyle w:val="Normal"/>
        <w:ind w:left="60"/>
      </w:pPr>
    </w:p>
    <w:p w:rsidR="00800605" w:rsidP="678E2B26" w:rsidRDefault="00800605" w14:paraId="05D8BA1A" w14:textId="5BC5B39C">
      <w:pPr>
        <w:pStyle w:val="Normal"/>
        <w:ind w:left="60"/>
      </w:pPr>
      <w:r w:rsidR="2DDD44DF">
        <w:rPr/>
        <w:t xml:space="preserve">Bound </w:t>
      </w:r>
    </w:p>
    <w:p w:rsidR="00800605" w:rsidP="678E2B26" w:rsidRDefault="00800605" w14:paraId="00DB5890" w14:textId="2A7C9B01">
      <w:pPr>
        <w:pStyle w:val="Normal"/>
        <w:ind w:left="60"/>
      </w:pPr>
    </w:p>
    <w:p w:rsidR="00800605" w:rsidP="678E2B26" w:rsidRDefault="00800605" w14:paraId="581E1084" w14:textId="34F95883">
      <w:pPr>
        <w:pStyle w:val="Normal"/>
        <w:ind w:left="60"/>
      </w:pPr>
    </w:p>
    <w:p w:rsidR="00800605" w:rsidP="678E2B26" w:rsidRDefault="00800605" w14:paraId="1D17706B" w14:textId="1DB1D037">
      <w:pPr>
        <w:pStyle w:val="Normal"/>
        <w:ind w:left="60"/>
      </w:pPr>
    </w:p>
    <w:p w:rsidR="00800605" w:rsidP="678E2B26" w:rsidRDefault="00800605" w14:paraId="05FB4CC4" w14:textId="3935A09B">
      <w:pPr>
        <w:pStyle w:val="Normal"/>
        <w:ind w:left="60"/>
      </w:pPr>
      <w:r w:rsidR="3B77991E">
        <w:rPr/>
        <w:t xml:space="preserve">No infection </w:t>
      </w:r>
      <w:r w:rsidR="3B77991E">
        <w:rPr/>
        <w:t>from  eluate</w:t>
      </w:r>
      <w:r w:rsidR="3B77991E">
        <w:rPr/>
        <w:t xml:space="preserve"> –</w:t>
      </w:r>
      <w:r w:rsidR="34052CC7">
        <w:rPr/>
        <w:t xml:space="preserve"> probably</w:t>
      </w:r>
      <w:r w:rsidR="3B77991E">
        <w:rPr/>
        <w:t xml:space="preserve"> imidazole concentration too high</w:t>
      </w:r>
    </w:p>
    <w:p w:rsidR="00800605" w:rsidP="678E2B26" w:rsidRDefault="00800605" w14:paraId="2DFD1243" w14:textId="3E906B58">
      <w:pPr>
        <w:pStyle w:val="Normal"/>
        <w:ind w:left="60"/>
      </w:pPr>
    </w:p>
    <w:p w:rsidR="00800605" w:rsidP="678E2B26" w:rsidRDefault="00800605" w14:paraId="06AB8A26" w14:textId="39E85B6E">
      <w:pPr>
        <w:pStyle w:val="Normal"/>
        <w:ind w:left="60"/>
      </w:pPr>
    </w:p>
    <w:p w:rsidR="00800605" w:rsidP="678E2B26" w:rsidRDefault="00800605" w14:paraId="3EA2CB09" w14:textId="0B984CAF">
      <w:pPr>
        <w:pStyle w:val="Normal"/>
        <w:ind w:left="60"/>
      </w:pPr>
    </w:p>
    <w:sectPr w:rsidR="008006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KIxdsiG" int2:invalidationBookmarkName="" int2:hashCode="ooZ4GYsxgGzZTJ" int2:id="aiZKEGwW">
      <int2:state int2:type="WordDesignerDefaultAnnotation" int2:value="Rejected"/>
    </int2:bookmark>
    <int2:bookmark int2:bookmarkName="_Int_Xit3gA1T" int2:invalidationBookmarkName="" int2:hashCode="ooZ4GYsxgGzZTJ" int2:id="SXLkXrtq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CF4E72"/>
    <w:multiLevelType w:val="hybridMultilevel"/>
    <w:tmpl w:val="5C2099D8"/>
    <w:lvl w:ilvl="0">
      <w:start w:val="1"/>
      <w:numFmt w:val="decimal"/>
      <w:lvlText w:val="%1."/>
      <w:lvlJc w:val="left"/>
      <w:pPr>
        <w:ind w:left="4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4018262">
    <w:abstractNumId w:val="0"/>
  </w:num>
  <w:num w:numId="2" w16cid:durableId="143092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1268A0"/>
    <w:rsid w:val="004E6750"/>
    <w:rsid w:val="006DAF5B"/>
    <w:rsid w:val="00800605"/>
    <w:rsid w:val="008117FA"/>
    <w:rsid w:val="008E4FDD"/>
    <w:rsid w:val="00967B71"/>
    <w:rsid w:val="00A834DD"/>
    <w:rsid w:val="00AE422B"/>
    <w:rsid w:val="00C84ED3"/>
    <w:rsid w:val="00C9378B"/>
    <w:rsid w:val="00D0149F"/>
    <w:rsid w:val="00E14A89"/>
    <w:rsid w:val="01B86240"/>
    <w:rsid w:val="01C19E56"/>
    <w:rsid w:val="02B475FC"/>
    <w:rsid w:val="02C993CE"/>
    <w:rsid w:val="0316E760"/>
    <w:rsid w:val="03A0E8BA"/>
    <w:rsid w:val="040FFAE2"/>
    <w:rsid w:val="046885C8"/>
    <w:rsid w:val="0533D28A"/>
    <w:rsid w:val="0686AACA"/>
    <w:rsid w:val="069F2676"/>
    <w:rsid w:val="073A59C2"/>
    <w:rsid w:val="07DB84F6"/>
    <w:rsid w:val="0834E7B7"/>
    <w:rsid w:val="085C39F8"/>
    <w:rsid w:val="08AA0F82"/>
    <w:rsid w:val="08D69757"/>
    <w:rsid w:val="0A8BC89F"/>
    <w:rsid w:val="0B589FDA"/>
    <w:rsid w:val="0B66CFCD"/>
    <w:rsid w:val="0B9969E4"/>
    <w:rsid w:val="0BFCE687"/>
    <w:rsid w:val="0C16CD5D"/>
    <w:rsid w:val="0CA78012"/>
    <w:rsid w:val="0CB872E9"/>
    <w:rsid w:val="0D3D68C1"/>
    <w:rsid w:val="0D635433"/>
    <w:rsid w:val="0D75C942"/>
    <w:rsid w:val="0D816068"/>
    <w:rsid w:val="0DAC25BF"/>
    <w:rsid w:val="0E8BAC8F"/>
    <w:rsid w:val="0F7165F4"/>
    <w:rsid w:val="10568AEB"/>
    <w:rsid w:val="11AC3C35"/>
    <w:rsid w:val="11F4D879"/>
    <w:rsid w:val="12843453"/>
    <w:rsid w:val="129AD07B"/>
    <w:rsid w:val="133CC6B9"/>
    <w:rsid w:val="1481390C"/>
    <w:rsid w:val="15A42E41"/>
    <w:rsid w:val="15C3F4D2"/>
    <w:rsid w:val="165CA56A"/>
    <w:rsid w:val="16D927C8"/>
    <w:rsid w:val="17AE3780"/>
    <w:rsid w:val="17CAD4F1"/>
    <w:rsid w:val="18257485"/>
    <w:rsid w:val="18C3346D"/>
    <w:rsid w:val="19119022"/>
    <w:rsid w:val="19438129"/>
    <w:rsid w:val="197EE6CC"/>
    <w:rsid w:val="19CD8620"/>
    <w:rsid w:val="1A5B20FD"/>
    <w:rsid w:val="1A7F7175"/>
    <w:rsid w:val="1B0DC5B7"/>
    <w:rsid w:val="1B8F61E2"/>
    <w:rsid w:val="1BD7D1FC"/>
    <w:rsid w:val="1BF0B726"/>
    <w:rsid w:val="1CC1DC26"/>
    <w:rsid w:val="1CDC84E6"/>
    <w:rsid w:val="1CDFFCCF"/>
    <w:rsid w:val="1DA58020"/>
    <w:rsid w:val="1DB12881"/>
    <w:rsid w:val="1EDFDB2E"/>
    <w:rsid w:val="1F399703"/>
    <w:rsid w:val="1F41E3E2"/>
    <w:rsid w:val="20095E48"/>
    <w:rsid w:val="200C2B74"/>
    <w:rsid w:val="22E0AD20"/>
    <w:rsid w:val="232D361B"/>
    <w:rsid w:val="23428735"/>
    <w:rsid w:val="2423CA55"/>
    <w:rsid w:val="24D6C28A"/>
    <w:rsid w:val="2566EABB"/>
    <w:rsid w:val="256D3CA7"/>
    <w:rsid w:val="25C62F45"/>
    <w:rsid w:val="25E90B39"/>
    <w:rsid w:val="261D128D"/>
    <w:rsid w:val="263BECD8"/>
    <w:rsid w:val="27F4FE4A"/>
    <w:rsid w:val="2820D42B"/>
    <w:rsid w:val="28761A63"/>
    <w:rsid w:val="288AC418"/>
    <w:rsid w:val="2920AD24"/>
    <w:rsid w:val="2954D85D"/>
    <w:rsid w:val="29B1C8B9"/>
    <w:rsid w:val="29DD35DC"/>
    <w:rsid w:val="2A03C0AB"/>
    <w:rsid w:val="2B1C2550"/>
    <w:rsid w:val="2B1EB262"/>
    <w:rsid w:val="2BD82456"/>
    <w:rsid w:val="2C2C8347"/>
    <w:rsid w:val="2C576978"/>
    <w:rsid w:val="2CD98462"/>
    <w:rsid w:val="2CE8FF9C"/>
    <w:rsid w:val="2D64D642"/>
    <w:rsid w:val="2DDD44DF"/>
    <w:rsid w:val="2E18670F"/>
    <w:rsid w:val="2E93757C"/>
    <w:rsid w:val="2EF7A84E"/>
    <w:rsid w:val="30C7E8CA"/>
    <w:rsid w:val="32C5DCD4"/>
    <w:rsid w:val="330F0212"/>
    <w:rsid w:val="33E191DE"/>
    <w:rsid w:val="34052CC7"/>
    <w:rsid w:val="348E0001"/>
    <w:rsid w:val="352667AF"/>
    <w:rsid w:val="35A63A7A"/>
    <w:rsid w:val="35A6A068"/>
    <w:rsid w:val="35CEEC32"/>
    <w:rsid w:val="35D1958A"/>
    <w:rsid w:val="361226FF"/>
    <w:rsid w:val="3795D5D5"/>
    <w:rsid w:val="37B58C02"/>
    <w:rsid w:val="388A9102"/>
    <w:rsid w:val="38B50301"/>
    <w:rsid w:val="39BE46D2"/>
    <w:rsid w:val="39D597AA"/>
    <w:rsid w:val="3AD4B78C"/>
    <w:rsid w:val="3ADD89C9"/>
    <w:rsid w:val="3B77991E"/>
    <w:rsid w:val="3BACC72B"/>
    <w:rsid w:val="3C826C4E"/>
    <w:rsid w:val="3CACBF2B"/>
    <w:rsid w:val="3CBFCC1D"/>
    <w:rsid w:val="3D237700"/>
    <w:rsid w:val="3E4DD713"/>
    <w:rsid w:val="3E87B560"/>
    <w:rsid w:val="3EADC1A8"/>
    <w:rsid w:val="3EE060DF"/>
    <w:rsid w:val="3EFA9BA3"/>
    <w:rsid w:val="3F8F4BDF"/>
    <w:rsid w:val="3FD9AF85"/>
    <w:rsid w:val="40CB4349"/>
    <w:rsid w:val="41218CC2"/>
    <w:rsid w:val="41872557"/>
    <w:rsid w:val="41FA2D4E"/>
    <w:rsid w:val="422C2BDB"/>
    <w:rsid w:val="4242B7B7"/>
    <w:rsid w:val="42F2ECB4"/>
    <w:rsid w:val="43067772"/>
    <w:rsid w:val="4397EC25"/>
    <w:rsid w:val="43B090AE"/>
    <w:rsid w:val="4410647A"/>
    <w:rsid w:val="4460DEA5"/>
    <w:rsid w:val="44EB789B"/>
    <w:rsid w:val="4548B08B"/>
    <w:rsid w:val="45AFB43F"/>
    <w:rsid w:val="460C928D"/>
    <w:rsid w:val="46A69255"/>
    <w:rsid w:val="47E62B53"/>
    <w:rsid w:val="4899684A"/>
    <w:rsid w:val="48BFEA26"/>
    <w:rsid w:val="499E2888"/>
    <w:rsid w:val="49F548F5"/>
    <w:rsid w:val="4A6EE4B2"/>
    <w:rsid w:val="4AB451CB"/>
    <w:rsid w:val="4AF148F6"/>
    <w:rsid w:val="4B42D6FA"/>
    <w:rsid w:val="4C077CDE"/>
    <w:rsid w:val="4C4C8E55"/>
    <w:rsid w:val="4C6861C3"/>
    <w:rsid w:val="4D38A2B8"/>
    <w:rsid w:val="4E820E39"/>
    <w:rsid w:val="4E9A8DE6"/>
    <w:rsid w:val="4ED9D675"/>
    <w:rsid w:val="505B782A"/>
    <w:rsid w:val="509CE72D"/>
    <w:rsid w:val="50A7B4EF"/>
    <w:rsid w:val="50F517FA"/>
    <w:rsid w:val="51B0D025"/>
    <w:rsid w:val="5301B232"/>
    <w:rsid w:val="53383AE6"/>
    <w:rsid w:val="533B90FA"/>
    <w:rsid w:val="53904903"/>
    <w:rsid w:val="53A8F76A"/>
    <w:rsid w:val="53BDA0EC"/>
    <w:rsid w:val="5456A74B"/>
    <w:rsid w:val="54A27F72"/>
    <w:rsid w:val="54E87408"/>
    <w:rsid w:val="55B4B3FC"/>
    <w:rsid w:val="5680B447"/>
    <w:rsid w:val="575E9270"/>
    <w:rsid w:val="579CBB5C"/>
    <w:rsid w:val="582014CA"/>
    <w:rsid w:val="582A9121"/>
    <w:rsid w:val="59BFB6CA"/>
    <w:rsid w:val="5A5BAADC"/>
    <w:rsid w:val="5A638C58"/>
    <w:rsid w:val="5B4A111E"/>
    <w:rsid w:val="5BDA606A"/>
    <w:rsid w:val="5BEB3F59"/>
    <w:rsid w:val="5C225BF6"/>
    <w:rsid w:val="5D3C697A"/>
    <w:rsid w:val="5D5DD88A"/>
    <w:rsid w:val="5D7DC908"/>
    <w:rsid w:val="5DA0711C"/>
    <w:rsid w:val="5DA1E315"/>
    <w:rsid w:val="5DA696FA"/>
    <w:rsid w:val="5DE0BE3B"/>
    <w:rsid w:val="5DEE873C"/>
    <w:rsid w:val="5E918584"/>
    <w:rsid w:val="5FB9552D"/>
    <w:rsid w:val="5FEF1AD7"/>
    <w:rsid w:val="5FF424A9"/>
    <w:rsid w:val="60581E8D"/>
    <w:rsid w:val="61AE25CA"/>
    <w:rsid w:val="62154BEF"/>
    <w:rsid w:val="62ABB699"/>
    <w:rsid w:val="62D1FD17"/>
    <w:rsid w:val="62FF1B2A"/>
    <w:rsid w:val="6317BBF6"/>
    <w:rsid w:val="634C732E"/>
    <w:rsid w:val="6523B621"/>
    <w:rsid w:val="6558423C"/>
    <w:rsid w:val="656A1178"/>
    <w:rsid w:val="6572EDA6"/>
    <w:rsid w:val="65BEA892"/>
    <w:rsid w:val="663F2238"/>
    <w:rsid w:val="66E07FE1"/>
    <w:rsid w:val="6702F3F3"/>
    <w:rsid w:val="675916AA"/>
    <w:rsid w:val="678E2B26"/>
    <w:rsid w:val="6797D51F"/>
    <w:rsid w:val="67B7BF33"/>
    <w:rsid w:val="67E53B84"/>
    <w:rsid w:val="68204715"/>
    <w:rsid w:val="683ACE0A"/>
    <w:rsid w:val="683E261A"/>
    <w:rsid w:val="6843D5AE"/>
    <w:rsid w:val="6851ABE2"/>
    <w:rsid w:val="68925C9A"/>
    <w:rsid w:val="69FDEB7D"/>
    <w:rsid w:val="6A9BC40B"/>
    <w:rsid w:val="6AAF238B"/>
    <w:rsid w:val="6B1B304F"/>
    <w:rsid w:val="6B269475"/>
    <w:rsid w:val="6B75C6DC"/>
    <w:rsid w:val="6B9C8B3F"/>
    <w:rsid w:val="6BCEC66D"/>
    <w:rsid w:val="6BDDE907"/>
    <w:rsid w:val="6C81C283"/>
    <w:rsid w:val="6D1B5604"/>
    <w:rsid w:val="6D333F24"/>
    <w:rsid w:val="6D49DA18"/>
    <w:rsid w:val="6DBE137F"/>
    <w:rsid w:val="6DD72E74"/>
    <w:rsid w:val="6EB4C5D0"/>
    <w:rsid w:val="6F1ED86E"/>
    <w:rsid w:val="6F59AB38"/>
    <w:rsid w:val="6F729AC1"/>
    <w:rsid w:val="6FB62949"/>
    <w:rsid w:val="70A98AAF"/>
    <w:rsid w:val="70DE3EF7"/>
    <w:rsid w:val="713ACFE3"/>
    <w:rsid w:val="72423D0F"/>
    <w:rsid w:val="7249409D"/>
    <w:rsid w:val="726D231E"/>
    <w:rsid w:val="72FF9E7F"/>
    <w:rsid w:val="73333AE1"/>
    <w:rsid w:val="73A1A1AB"/>
    <w:rsid w:val="73A4CB1C"/>
    <w:rsid w:val="74382571"/>
    <w:rsid w:val="74445E7A"/>
    <w:rsid w:val="74F4FF3A"/>
    <w:rsid w:val="7527C86E"/>
    <w:rsid w:val="754455B4"/>
    <w:rsid w:val="75480F8B"/>
    <w:rsid w:val="759902E4"/>
    <w:rsid w:val="75C599FD"/>
    <w:rsid w:val="76247674"/>
    <w:rsid w:val="764298E4"/>
    <w:rsid w:val="770B76C2"/>
    <w:rsid w:val="779D82E5"/>
    <w:rsid w:val="78DE7735"/>
    <w:rsid w:val="790DC9E5"/>
    <w:rsid w:val="7920A150"/>
    <w:rsid w:val="792EE47A"/>
    <w:rsid w:val="79A45174"/>
    <w:rsid w:val="7A3BF2B7"/>
    <w:rsid w:val="7A78E128"/>
    <w:rsid w:val="7AF87482"/>
    <w:rsid w:val="7AFA30BC"/>
    <w:rsid w:val="7B622A58"/>
    <w:rsid w:val="7C83B04F"/>
    <w:rsid w:val="7D8D3E1A"/>
    <w:rsid w:val="7DA870AE"/>
    <w:rsid w:val="7DAC909C"/>
    <w:rsid w:val="7DE036BB"/>
    <w:rsid w:val="7E4AE17F"/>
    <w:rsid w:val="7F472DAF"/>
    <w:rsid w:val="7FC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b0c1f2399fb4c2f" /><Relationship Type="http://schemas.openxmlformats.org/officeDocument/2006/relationships/image" Target="/media/image2.png" Id="Rc70f9b6999d14770" /><Relationship Type="http://schemas.microsoft.com/office/2020/10/relationships/intelligence" Target="intelligence2.xml" Id="R3aead5d873a642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Lankina, Anastasia</dc:creator>
  <keywords/>
  <dc:description/>
  <lastModifiedBy>Lankina, Anastasia</lastModifiedBy>
  <revision>5</revision>
  <dcterms:created xsi:type="dcterms:W3CDTF">2024-02-06T15:54:00.0000000Z</dcterms:created>
  <dcterms:modified xsi:type="dcterms:W3CDTF">2024-05-22T11:32:54.7869365Z</dcterms:modified>
</coreProperties>
</file>