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16BA" w:rsidR="00E14A89" w:rsidRDefault="00412709" w14:paraId="1AE5D54F" w14:textId="4EDCA83F">
      <w:pPr>
        <w:rPr>
          <w:rFonts w:cstheme="minorHAnsi"/>
        </w:rPr>
      </w:pPr>
      <w:r w:rsidRPr="001316BA">
        <w:rPr>
          <w:rFonts w:cstheme="minorHAnsi"/>
        </w:rPr>
        <w:t>Chapter 2 (</w:t>
      </w:r>
      <w:r w:rsidRPr="001316BA" w:rsidR="00C9378B">
        <w:rPr>
          <w:rFonts w:cstheme="minorHAnsi"/>
        </w:rPr>
        <w:t>AD2</w:t>
      </w:r>
      <w:r w:rsidRPr="001316BA">
        <w:rPr>
          <w:rFonts w:cstheme="minorHAnsi"/>
        </w:rPr>
        <w:t>)</w:t>
      </w:r>
      <w:r w:rsidRPr="001316BA" w:rsidR="00C9378B">
        <w:rPr>
          <w:rFonts w:cstheme="minorHAnsi"/>
        </w:rPr>
        <w:t xml:space="preserve"> </w:t>
      </w:r>
      <w:r w:rsidRPr="001316BA" w:rsidR="00D063C2">
        <w:rPr>
          <w:rFonts w:cstheme="minorHAnsi"/>
        </w:rPr>
        <w:t xml:space="preserve">Materials and </w:t>
      </w:r>
      <w:r w:rsidRPr="001316BA" w:rsidR="00C9378B">
        <w:rPr>
          <w:rFonts w:cstheme="minorHAnsi"/>
        </w:rPr>
        <w:t>Methods</w:t>
      </w:r>
    </w:p>
    <w:p w:rsidRPr="001316BA" w:rsidR="00412709" w:rsidRDefault="00412709" w14:paraId="5CB54AE8" w14:textId="77777777">
      <w:pPr>
        <w:rPr>
          <w:rFonts w:cstheme="minorHAnsi"/>
        </w:rPr>
      </w:pPr>
    </w:p>
    <w:p w:rsidRPr="001316BA" w:rsidR="0090689C" w:rsidP="0090689C" w:rsidRDefault="006131F2" w14:paraId="086074BD" w14:textId="7651C85A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</w:rPr>
        <w:t>Experimental r</w:t>
      </w:r>
      <w:r w:rsidRPr="001316BA" w:rsidR="00515DAE">
        <w:rPr>
          <w:rFonts w:cstheme="minorHAnsi"/>
        </w:rPr>
        <w:t>ationale</w:t>
      </w:r>
    </w:p>
    <w:p w:rsidRPr="001316BA" w:rsidR="0090689C" w:rsidP="0090689C" w:rsidRDefault="0090689C" w14:paraId="50C3A95C" w14:textId="77777777">
      <w:pPr>
        <w:rPr>
          <w:rFonts w:cstheme="minorHAnsi"/>
        </w:rPr>
      </w:pPr>
    </w:p>
    <w:p w:rsidRPr="001316BA" w:rsidR="0090689C" w:rsidP="4436B956" w:rsidRDefault="006131F2" w14:paraId="6D7554C5" w14:textId="7C00D72E" w14:noSpellErr="1">
      <w:pPr>
        <w:rPr>
          <w:rFonts w:cs="Calibri" w:cstheme="minorAscii"/>
        </w:rPr>
      </w:pPr>
      <w:r w:rsidRPr="4436B956" w:rsidR="006131F2">
        <w:rPr>
          <w:rFonts w:cs="Calibri" w:cstheme="minorAscii"/>
        </w:rPr>
        <w:t xml:space="preserve">Phylogenetic analysis of a multiple sequence alignment (MSA) compiled from </w:t>
      </w:r>
      <w:r w:rsidRPr="4436B956" w:rsidR="00307989">
        <w:rPr>
          <w:rFonts w:cs="Calibri" w:cstheme="minorAscii"/>
        </w:rPr>
        <w:t>up-to-date</w:t>
      </w:r>
      <w:r w:rsidRPr="4436B956" w:rsidR="006131F2">
        <w:rPr>
          <w:rFonts w:cs="Calibri" w:cstheme="minorAscii"/>
        </w:rPr>
        <w:t xml:space="preserve"> HCMV </w:t>
      </w:r>
      <w:r w:rsidRPr="4436B956" w:rsidR="006131F2">
        <w:rPr>
          <w:rFonts w:cs="Calibri" w:cstheme="minorAscii"/>
        </w:rPr>
        <w:t>gB</w:t>
      </w:r>
      <w:r w:rsidRPr="4436B956" w:rsidR="006131F2">
        <w:rPr>
          <w:rFonts w:cs="Calibri" w:cstheme="minorAscii"/>
        </w:rPr>
        <w:t xml:space="preserve"> amino acid sequences has confirmed the AD-2 variation presenting itself in a form of set a</w:t>
      </w:r>
      <w:r w:rsidRPr="4436B956" w:rsidR="0090689C">
        <w:rPr>
          <w:rFonts w:cs="Calibri" w:cstheme="minorAscii"/>
        </w:rPr>
        <w:t>lleles</w:t>
      </w:r>
      <w:r w:rsidRPr="4436B956" w:rsidR="006131F2">
        <w:rPr>
          <w:rFonts w:cs="Calibri" w:cstheme="minorAscii"/>
        </w:rPr>
        <w:t xml:space="preserve">, mirroring the </w:t>
      </w:r>
      <w:r w:rsidRPr="4436B956" w:rsidR="006131F2">
        <w:rPr>
          <w:rFonts w:cs="Calibri" w:cstheme="minorAscii"/>
          <w:highlight w:val="yellow"/>
        </w:rPr>
        <w:t>multiallelic region XX</w:t>
      </w:r>
      <w:r w:rsidRPr="4436B956" w:rsidR="006131F2">
        <w:rPr>
          <w:rFonts w:cs="Calibri" w:cstheme="minorAscii"/>
        </w:rPr>
        <w:t xml:space="preserve"> in Charles et al (</w:t>
      </w:r>
      <w:r w:rsidRPr="4436B956" w:rsidR="006131F2">
        <w:rPr>
          <w:rFonts w:cs="Calibri" w:cstheme="minorAscii"/>
          <w:highlight w:val="yellow"/>
        </w:rPr>
        <w:t>Oscars</w:t>
      </w:r>
      <w:r w:rsidRPr="4436B956" w:rsidR="006131F2">
        <w:rPr>
          <w:rFonts w:cs="Calibri" w:cstheme="minorAscii"/>
          <w:highlight w:val="yellow"/>
        </w:rPr>
        <w:t xml:space="preserve"> paper)</w:t>
      </w:r>
      <w:r w:rsidRPr="4436B956" w:rsidR="006131F2">
        <w:rPr>
          <w:rFonts w:cs="Calibri" w:cstheme="minorAscii"/>
        </w:rPr>
        <w:t>. F</w:t>
      </w:r>
      <w:r w:rsidRPr="4436B956" w:rsidR="0090689C">
        <w:rPr>
          <w:rFonts w:cs="Calibri" w:cstheme="minorAscii"/>
        </w:rPr>
        <w:t xml:space="preserve">urther </w:t>
      </w:r>
      <w:r w:rsidRPr="4436B956" w:rsidR="006131F2">
        <w:rPr>
          <w:rFonts w:cs="Calibri" w:cstheme="minorAscii"/>
        </w:rPr>
        <w:t xml:space="preserve">exploration of the differences between the AD-2 alleles </w:t>
      </w:r>
      <w:r w:rsidRPr="4436B956" w:rsidR="008A71B4">
        <w:rPr>
          <w:rFonts w:cs="Calibri" w:cstheme="minorAscii"/>
        </w:rPr>
        <w:t xml:space="preserve">discovered that the predicted patterns of post-translational modifications (PTM). I focused on the different glycosylation profiles of AD-2 alleles, as AD-2 site 2 is one of the most heavily glycosylated parts of </w:t>
      </w:r>
      <w:r w:rsidRPr="4436B956" w:rsidR="008A71B4">
        <w:rPr>
          <w:rFonts w:cs="Calibri" w:cstheme="minorAscii"/>
        </w:rPr>
        <w:t>gB</w:t>
      </w:r>
      <w:r w:rsidRPr="4436B956" w:rsidR="008A71B4">
        <w:rPr>
          <w:rFonts w:cs="Calibri" w:cstheme="minorAscii"/>
        </w:rPr>
        <w:t xml:space="preserve">, potentially providing a glycan shield to AD-2 site 1 - the well-known target of highly neutralising antibodies. </w:t>
      </w:r>
    </w:p>
    <w:p w:rsidRPr="001316BA" w:rsidR="0090689C" w:rsidRDefault="0090689C" w14:paraId="49BA1B01" w14:textId="7322A3AA">
      <w:pPr>
        <w:rPr>
          <w:rFonts w:cstheme="minorHAnsi"/>
        </w:rPr>
      </w:pPr>
    </w:p>
    <w:p w:rsidRPr="001316BA" w:rsidR="00D063C2" w:rsidP="00D063C2" w:rsidRDefault="00412709" w14:paraId="6C896364" w14:textId="4E30F9AF">
      <w:pPr>
        <w:rPr>
          <w:rFonts w:cstheme="minorHAnsi"/>
        </w:rPr>
      </w:pPr>
      <w:r w:rsidRPr="001316BA">
        <w:rPr>
          <w:rFonts w:cstheme="minorHAnsi"/>
        </w:rPr>
        <w:t xml:space="preserve">The “ideal experiment” to uncover the </w:t>
      </w:r>
      <w:r w:rsidRPr="001316BA" w:rsidR="00D5175C">
        <w:rPr>
          <w:rFonts w:cstheme="minorHAnsi"/>
        </w:rPr>
        <w:t xml:space="preserve">effect </w:t>
      </w:r>
      <w:r w:rsidRPr="001316BA">
        <w:rPr>
          <w:rFonts w:cstheme="minorHAnsi"/>
        </w:rPr>
        <w:t xml:space="preserve">of AD-2 </w:t>
      </w:r>
      <w:r w:rsidRPr="001316BA" w:rsidR="00D5175C">
        <w:rPr>
          <w:rFonts w:cstheme="minorHAnsi"/>
        </w:rPr>
        <w:t>multiallelicity</w:t>
      </w:r>
      <w:r w:rsidRPr="001316BA">
        <w:rPr>
          <w:rFonts w:cstheme="minorHAnsi"/>
        </w:rPr>
        <w:t xml:space="preserve"> </w:t>
      </w:r>
      <w:r w:rsidRPr="001316BA" w:rsidR="00D5175C">
        <w:rPr>
          <w:rFonts w:cstheme="minorHAnsi"/>
        </w:rPr>
        <w:t>o</w:t>
      </w:r>
      <w:r w:rsidRPr="001316BA">
        <w:rPr>
          <w:rFonts w:cstheme="minorHAnsi"/>
        </w:rPr>
        <w:t>n gB function</w:t>
      </w:r>
      <w:r w:rsidRPr="001316BA" w:rsidR="00515DAE">
        <w:rPr>
          <w:rFonts w:cstheme="minorHAnsi"/>
        </w:rPr>
        <w:t xml:space="preserve">, AD-2 antibody binding, </w:t>
      </w:r>
      <w:r w:rsidRPr="001316BA">
        <w:rPr>
          <w:rFonts w:cstheme="minorHAnsi"/>
        </w:rPr>
        <w:t xml:space="preserve">and subsequent viral </w:t>
      </w:r>
      <w:r w:rsidRPr="001316BA" w:rsidR="00D5175C">
        <w:rPr>
          <w:rFonts w:cstheme="minorHAnsi"/>
        </w:rPr>
        <w:t>phenotype</w:t>
      </w:r>
      <w:r w:rsidRPr="001316BA" w:rsidR="00515DAE">
        <w:rPr>
          <w:rFonts w:cstheme="minorHAnsi"/>
        </w:rPr>
        <w:t xml:space="preserve">, </w:t>
      </w:r>
      <w:r w:rsidRPr="001316BA">
        <w:rPr>
          <w:rFonts w:cstheme="minorHAnsi"/>
        </w:rPr>
        <w:t>would</w:t>
      </w:r>
      <w:r w:rsidRPr="001316BA" w:rsidR="00D5175C">
        <w:rPr>
          <w:rFonts w:cstheme="minorHAnsi"/>
        </w:rPr>
        <w:t xml:space="preserve"> focus on isolating AD-2</w:t>
      </w:r>
      <w:r w:rsidRPr="001316BA" w:rsidR="008A71B4">
        <w:rPr>
          <w:rFonts w:cstheme="minorHAnsi"/>
        </w:rPr>
        <w:t xml:space="preserve"> site 2</w:t>
      </w:r>
      <w:r w:rsidRPr="001316BA" w:rsidR="00D5175C">
        <w:rPr>
          <w:rFonts w:cstheme="minorHAnsi"/>
        </w:rPr>
        <w:t xml:space="preserve"> variation whilst keeping all other conditions identical. This goal can be achieved using </w:t>
      </w:r>
      <w:r w:rsidRPr="001316BA" w:rsidR="00EF7528">
        <w:rPr>
          <w:rFonts w:cstheme="minorHAnsi"/>
        </w:rPr>
        <w:t>bacterial artificial chromosome (</w:t>
      </w:r>
      <w:r w:rsidRPr="001316BA" w:rsidR="00D5175C">
        <w:rPr>
          <w:rFonts w:cstheme="minorHAnsi"/>
        </w:rPr>
        <w:t>BAC</w:t>
      </w:r>
      <w:r w:rsidRPr="001316BA" w:rsidR="00EF7528">
        <w:rPr>
          <w:rFonts w:cstheme="minorHAnsi"/>
        </w:rPr>
        <w:t>)</w:t>
      </w:r>
      <w:r w:rsidRPr="001316BA" w:rsidR="00D5175C">
        <w:rPr>
          <w:rFonts w:cstheme="minorHAnsi"/>
        </w:rPr>
        <w:t xml:space="preserve"> recombineering of the HCMV genome. The system</w:t>
      </w:r>
      <w:r w:rsidRPr="001316BA" w:rsidR="00EF7528">
        <w:rPr>
          <w:rFonts w:cstheme="minorHAnsi"/>
        </w:rPr>
        <w:t xml:space="preserve"> </w:t>
      </w:r>
      <w:r w:rsidRPr="001316BA" w:rsidR="00D5175C">
        <w:rPr>
          <w:rFonts w:cstheme="minorHAnsi"/>
        </w:rPr>
        <w:t>d</w:t>
      </w:r>
      <w:r w:rsidRPr="001316BA" w:rsidR="00EF7528">
        <w:rPr>
          <w:rFonts w:cstheme="minorHAnsi"/>
        </w:rPr>
        <w:t>eveloped</w:t>
      </w:r>
      <w:r w:rsidRPr="001316BA" w:rsidR="00D5175C">
        <w:rPr>
          <w:rFonts w:cstheme="minorHAnsi"/>
        </w:rPr>
        <w:t xml:space="preserve"> by Prof Rich Stanton from Cardiff University allows for introducing </w:t>
      </w:r>
      <w:r w:rsidRPr="001316BA" w:rsidR="00EF7528">
        <w:rPr>
          <w:rFonts w:cstheme="minorHAnsi"/>
        </w:rPr>
        <w:t>variation into a BAC containing HCMV genome, using the ability of host bacteria to mediate homologous recombination</w:t>
      </w:r>
      <w:r w:rsidRPr="001316BA" w:rsidR="00D063C2">
        <w:rPr>
          <w:rFonts w:cstheme="minorHAnsi"/>
        </w:rPr>
        <w:t xml:space="preserve">. </w:t>
      </w:r>
      <w:r w:rsidRPr="001316BA" w:rsidR="00515DAE">
        <w:rPr>
          <w:rFonts w:cstheme="minorHAnsi"/>
        </w:rPr>
        <w:t xml:space="preserve">While the principle seemed straightforward, BAC recombineering proved to be a lot more challenging to perform, ultimately yielding no quantifiable results. </w:t>
      </w:r>
    </w:p>
    <w:p w:rsidRPr="001316BA" w:rsidR="00D5175C" w:rsidRDefault="00D5175C" w14:paraId="213AF7BF" w14:textId="77777777">
      <w:pPr>
        <w:rPr>
          <w:rFonts w:cstheme="minorHAnsi"/>
        </w:rPr>
      </w:pPr>
    </w:p>
    <w:p w:rsidRPr="001316BA" w:rsidR="0090689C" w:rsidP="0090689C" w:rsidRDefault="00D5175C" w14:paraId="19422B85" w14:textId="797B183F">
      <w:pPr>
        <w:rPr>
          <w:rFonts w:cstheme="minorHAnsi"/>
        </w:rPr>
      </w:pPr>
      <w:r w:rsidRPr="001316BA">
        <w:rPr>
          <w:rFonts w:cstheme="minorHAnsi"/>
        </w:rPr>
        <w:t xml:space="preserve">That leads me onto the </w:t>
      </w:r>
      <w:r w:rsidRPr="001316BA" w:rsidR="00717B9C">
        <w:rPr>
          <w:rFonts w:cstheme="minorHAnsi"/>
        </w:rPr>
        <w:t>next</w:t>
      </w:r>
      <w:r w:rsidRPr="001316BA">
        <w:rPr>
          <w:rFonts w:cstheme="minorHAnsi"/>
        </w:rPr>
        <w:t xml:space="preserve">-best experiment </w:t>
      </w:r>
      <w:r w:rsidRPr="001316BA" w:rsidR="00515DAE">
        <w:rPr>
          <w:rFonts w:cstheme="minorHAnsi"/>
        </w:rPr>
        <w:t>for investigating AD-2 variation</w:t>
      </w:r>
      <w:r w:rsidRPr="001316BA" w:rsidR="00717B9C">
        <w:rPr>
          <w:rFonts w:cstheme="minorHAnsi"/>
        </w:rPr>
        <w:t xml:space="preserve"> and its effect on AD-2 epitope access: a series of neutralisation assays using the available HCMV strains that possess the representative sequences for AD-2 alleles, and a potent AD-2-specific antibody. </w:t>
      </w:r>
    </w:p>
    <w:p w:rsidRPr="001316BA" w:rsidR="00515DAE" w:rsidP="00515DAE" w:rsidRDefault="00515DAE" w14:paraId="685B012E" w14:textId="77777777">
      <w:pPr>
        <w:rPr>
          <w:rFonts w:cstheme="minorHAnsi"/>
        </w:rPr>
      </w:pPr>
    </w:p>
    <w:p w:rsidRPr="001316BA" w:rsidR="00515DAE" w:rsidP="00717B9C" w:rsidRDefault="00515DAE" w14:paraId="2DA51A5E" w14:textId="640DFBF3">
      <w:pPr>
        <w:rPr>
          <w:rFonts w:cstheme="minorHAnsi"/>
        </w:rPr>
      </w:pPr>
      <w:r w:rsidRPr="001316BA">
        <w:rPr>
          <w:rFonts w:cstheme="minorHAnsi"/>
        </w:rPr>
        <w:t xml:space="preserve">Moreover, </w:t>
      </w:r>
      <w:r w:rsidRPr="001316BA" w:rsidR="00153DCB">
        <w:rPr>
          <w:rFonts w:cstheme="minorHAnsi"/>
        </w:rPr>
        <w:t>the role of PTM</w:t>
      </w:r>
      <w:r w:rsidRPr="001316BA" w:rsidR="00717B9C">
        <w:rPr>
          <w:rFonts w:cstheme="minorHAnsi"/>
        </w:rPr>
        <w:t xml:space="preserve"> </w:t>
      </w:r>
      <w:r w:rsidRPr="001316BA" w:rsidR="0090689C">
        <w:rPr>
          <w:rFonts w:cstheme="minorHAnsi"/>
        </w:rPr>
        <w:t>and specifically</w:t>
      </w:r>
      <w:r w:rsidRPr="001316BA" w:rsidR="0078040D">
        <w:rPr>
          <w:rFonts w:cstheme="minorHAnsi"/>
        </w:rPr>
        <w:t xml:space="preserve"> varied</w:t>
      </w:r>
      <w:r w:rsidRPr="001316BA" w:rsidR="0090689C">
        <w:rPr>
          <w:rFonts w:cstheme="minorHAnsi"/>
        </w:rPr>
        <w:t xml:space="preserve"> glycosylation</w:t>
      </w:r>
      <w:r w:rsidRPr="001316BA" w:rsidR="0078040D">
        <w:rPr>
          <w:rFonts w:cstheme="minorHAnsi"/>
        </w:rPr>
        <w:t xml:space="preserve"> patterns that are</w:t>
      </w:r>
      <w:r w:rsidRPr="001316BA" w:rsidR="0090689C">
        <w:rPr>
          <w:rFonts w:cstheme="minorHAnsi"/>
        </w:rPr>
        <w:t xml:space="preserve"> associated with the AD-2 amino acid variation </w:t>
      </w:r>
      <w:r w:rsidRPr="001316BA" w:rsidR="0078040D">
        <w:rPr>
          <w:rFonts w:cstheme="minorHAnsi"/>
        </w:rPr>
        <w:t xml:space="preserve">was explored via a variety of enzyme-linked immunoassay (ELISA) experiments. The AD-2-specific antibody binding was quantified against the variable AD-2 peptides obtained via chemical synthesis (no PTM present), in the context of a native whole virion (all PTM present), and finally, in the context of a native whole virion after de-glycosylation (no glycans present, while all other PTM remain). </w:t>
      </w:r>
    </w:p>
    <w:p w:rsidRPr="001316BA" w:rsidR="00412709" w:rsidRDefault="00412709" w14:paraId="37C2B054" w14:textId="77777777">
      <w:pPr>
        <w:rPr>
          <w:rFonts w:cstheme="minorHAnsi"/>
        </w:rPr>
      </w:pPr>
    </w:p>
    <w:p w:rsidRPr="001316BA" w:rsidR="00C9378B" w:rsidRDefault="00C9378B" w14:paraId="26228338" w14:textId="77777777">
      <w:pPr>
        <w:rPr>
          <w:rFonts w:cstheme="minorHAnsi"/>
        </w:rPr>
      </w:pPr>
    </w:p>
    <w:p w:rsidRPr="001316BA" w:rsidR="00412709" w:rsidP="0090689C" w:rsidRDefault="00C9378B" w14:paraId="17F3A203" w14:textId="280453F1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  <w:i/>
          <w:iCs/>
        </w:rPr>
        <w:t>In</w:t>
      </w:r>
      <w:r w:rsidRPr="001316BA" w:rsidR="00412709">
        <w:rPr>
          <w:rFonts w:cstheme="minorHAnsi"/>
          <w:i/>
          <w:iCs/>
        </w:rPr>
        <w:t xml:space="preserve"> </w:t>
      </w:r>
      <w:r w:rsidRPr="001316BA">
        <w:rPr>
          <w:rFonts w:cstheme="minorHAnsi"/>
          <w:i/>
          <w:iCs/>
        </w:rPr>
        <w:t>silico</w:t>
      </w:r>
      <w:r w:rsidRPr="001316BA" w:rsidR="00F81F28">
        <w:rPr>
          <w:rFonts w:cstheme="minorHAnsi"/>
        </w:rPr>
        <w:t xml:space="preserve"> work</w:t>
      </w:r>
    </w:p>
    <w:p w:rsidRPr="001316BA" w:rsidR="00F81F28" w:rsidP="00F81F28" w:rsidRDefault="00D865AC" w14:paraId="232F5690" w14:textId="56E29A81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Main and validation MSA </w:t>
      </w:r>
      <w:r w:rsidRPr="001316BA" w:rsidR="00F81F28">
        <w:rPr>
          <w:rFonts w:cstheme="minorHAnsi"/>
        </w:rPr>
        <w:t>assembly</w:t>
      </w:r>
    </w:p>
    <w:p w:rsidRPr="001316BA" w:rsidR="004C06FC" w:rsidP="004C06FC" w:rsidRDefault="004C06FC" w14:paraId="450918AA" w14:textId="77777777">
      <w:pPr>
        <w:rPr>
          <w:rFonts w:eastAsia="Times New Roman" w:cstheme="minorHAnsi"/>
          <w:color w:val="000000" w:themeColor="text1"/>
        </w:rPr>
      </w:pPr>
    </w:p>
    <w:p w:rsidRPr="001316BA" w:rsidR="001316BA" w:rsidP="00D865AC" w:rsidRDefault="00D865AC" w14:paraId="17166F24" w14:textId="23B4A59A">
      <w:pPr>
        <w:rPr>
          <w:rFonts w:cstheme="minorHAnsi"/>
        </w:rPr>
      </w:pPr>
      <w:r>
        <w:rPr>
          <w:rFonts w:cstheme="minorHAnsi"/>
        </w:rPr>
        <w:t>The amino acid MSA was acquired using the methods described in [General methods].</w:t>
      </w:r>
      <w:r w:rsidRPr="001316BA" w:rsidR="004C06FC">
        <w:rPr>
          <w:rFonts w:cstheme="minorHAnsi"/>
        </w:rPr>
        <w:t xml:space="preserve">An equivalent MSA was assembled </w:t>
      </w:r>
      <w:r w:rsidRPr="001316BA" w:rsidR="00227DFF">
        <w:rPr>
          <w:rFonts w:cstheme="minorHAnsi"/>
        </w:rPr>
        <w:t>using</w:t>
      </w:r>
      <w:r w:rsidRPr="001316BA" w:rsidR="004C06FC">
        <w:rPr>
          <w:rFonts w:cstheme="minorHAnsi"/>
        </w:rPr>
        <w:t xml:space="preserve"> genomic sequences of </w:t>
      </w:r>
      <w:r w:rsidRPr="001316BA" w:rsidR="00227DFF">
        <w:rPr>
          <w:rFonts w:cstheme="minorHAnsi"/>
        </w:rPr>
        <w:t xml:space="preserve">HCMV isolated from </w:t>
      </w:r>
      <w:r w:rsidRPr="001316BA" w:rsidR="004C06FC">
        <w:rPr>
          <w:rFonts w:cstheme="minorHAnsi"/>
        </w:rPr>
        <w:t>seropositive</w:t>
      </w:r>
      <w:r w:rsidRPr="001316BA" w:rsidR="00227DFF">
        <w:rPr>
          <w:rFonts w:cstheme="minorHAnsi"/>
        </w:rPr>
        <w:t xml:space="preserve"> solid organ</w:t>
      </w:r>
      <w:r w:rsidRPr="001316BA" w:rsidR="004C06FC">
        <w:rPr>
          <w:rFonts w:cstheme="minorHAnsi"/>
        </w:rPr>
        <w:t xml:space="preserve"> transplant</w:t>
      </w:r>
      <w:r w:rsidRPr="001316BA" w:rsidR="00227DFF">
        <w:rPr>
          <w:rFonts w:cstheme="minorHAnsi"/>
        </w:rPr>
        <w:t xml:space="preserve"> recipients</w:t>
      </w:r>
      <w:r w:rsidRPr="001316BA" w:rsidR="004C06FC">
        <w:rPr>
          <w:rFonts w:cstheme="minorHAnsi"/>
        </w:rPr>
        <w:t xml:space="preserve"> as a part of </w:t>
      </w:r>
      <w:r w:rsidRPr="001316BA" w:rsidR="001316BA">
        <w:rPr>
          <w:rFonts w:eastAsia="Times New Roman" w:cstheme="minorHAnsi"/>
          <w:color w:val="000000" w:themeColor="text1"/>
        </w:rPr>
        <w:t xml:space="preserve">UCL17-0008 Analysis of Cytomegalovirus Pathogenesis in Solid Organ Transplant Patients </w:t>
      </w:r>
      <w:r w:rsidR="001316BA">
        <w:rPr>
          <w:rFonts w:eastAsia="Times New Roman" w:cstheme="minorHAnsi"/>
          <w:color w:val="000000" w:themeColor="text1"/>
        </w:rPr>
        <w:t>(</w:t>
      </w:r>
      <w:proofErr w:type="spellStart"/>
      <w:r w:rsidRPr="001316BA" w:rsidR="001316BA">
        <w:rPr>
          <w:rFonts w:eastAsia="Times New Roman" w:cstheme="minorHAnsi"/>
          <w:color w:val="000000" w:themeColor="text1"/>
        </w:rPr>
        <w:t>Wellcome</w:t>
      </w:r>
      <w:proofErr w:type="spellEnd"/>
      <w:r w:rsidRPr="001316BA" w:rsidR="001316BA">
        <w:rPr>
          <w:rFonts w:eastAsia="Times New Roman" w:cstheme="minorHAnsi"/>
          <w:color w:val="000000" w:themeColor="text1"/>
        </w:rPr>
        <w:t xml:space="preserve"> collaborative grant 204870/Z/16/Z UKRI</w:t>
      </w:r>
      <w:r w:rsidR="001316BA">
        <w:rPr>
          <w:rFonts w:eastAsia="Times New Roman" w:cstheme="minorHAnsi"/>
          <w:color w:val="000000" w:themeColor="text1"/>
        </w:rPr>
        <w:t xml:space="preserve">) at </w:t>
      </w:r>
      <w:r w:rsidRPr="001316BA" w:rsidR="001316BA">
        <w:rPr>
          <w:rFonts w:eastAsia="Times New Roman" w:cstheme="minorHAnsi"/>
          <w:color w:val="000000" w:themeColor="text1"/>
        </w:rPr>
        <w:t>Royal Free Hospital London</w:t>
      </w:r>
      <w:r w:rsidR="001316BA">
        <w:rPr>
          <w:rFonts w:eastAsia="Times New Roman" w:cstheme="minorHAnsi"/>
          <w:color w:val="000000" w:themeColor="text1"/>
        </w:rPr>
        <w:t xml:space="preserve">, </w:t>
      </w:r>
      <w:r w:rsidRPr="001316BA" w:rsidR="001316BA">
        <w:rPr>
          <w:rFonts w:eastAsia="Times New Roman" w:cstheme="minorHAnsi"/>
          <w:color w:val="000000" w:themeColor="text1"/>
        </w:rPr>
        <w:t>approved by the NRES Committee London Queens Square Ethics Committee (REC reference 17/LO/0916)</w:t>
      </w:r>
      <w:r w:rsidR="001316BA">
        <w:rPr>
          <w:rFonts w:eastAsia="Times New Roman" w:cstheme="minorHAnsi"/>
          <w:color w:val="000000" w:themeColor="text1"/>
        </w:rPr>
        <w:t>.</w:t>
      </w:r>
    </w:p>
    <w:p w:rsidRPr="001316BA" w:rsidR="00993B94" w:rsidP="00993B94" w:rsidRDefault="00993B94" w14:paraId="3D141726" w14:textId="77777777">
      <w:pPr>
        <w:rPr>
          <w:rFonts w:cstheme="minorHAnsi"/>
        </w:rPr>
      </w:pPr>
    </w:p>
    <w:p w:rsidRPr="001316BA" w:rsidR="004C06FC" w:rsidP="00993B94" w:rsidRDefault="00C24C33" w14:paraId="7C380847" w14:textId="26F99A7D">
      <w:pPr>
        <w:rPr>
          <w:rFonts w:cstheme="minorHAnsi"/>
        </w:rPr>
      </w:pPr>
      <w:r w:rsidRPr="001316BA">
        <w:rPr>
          <w:rFonts w:cstheme="minorHAnsi"/>
        </w:rPr>
        <w:t>First</w:t>
      </w:r>
      <w:r w:rsidRPr="001316BA" w:rsidR="005676BF">
        <w:rPr>
          <w:rFonts w:cstheme="minorHAnsi"/>
        </w:rPr>
        <w:t xml:space="preserve">, </w:t>
      </w:r>
      <w:r w:rsidRPr="001316BA">
        <w:rPr>
          <w:rFonts w:cstheme="minorHAnsi"/>
        </w:rPr>
        <w:t>the genomic sequences</w:t>
      </w:r>
      <w:r w:rsidRPr="001316BA" w:rsidR="005676BF">
        <w:rPr>
          <w:rFonts w:cstheme="minorHAnsi"/>
        </w:rPr>
        <w:t xml:space="preserve"> plus one reference sequence (Merlin </w:t>
      </w:r>
      <w:r w:rsidRPr="001316BA" w:rsidR="001316BA">
        <w:rPr>
          <w:rFonts w:eastAsia="Times New Roman" w:cstheme="minorHAnsi"/>
          <w:color w:val="000000" w:themeColor="text1"/>
        </w:rPr>
        <w:t>AY446894.2)</w:t>
      </w:r>
      <w:r w:rsidRPr="001316BA" w:rsidR="005676BF">
        <w:rPr>
          <w:rFonts w:cstheme="minorHAnsi"/>
        </w:rPr>
        <w:t xml:space="preserve"> </w:t>
      </w:r>
      <w:r w:rsidRPr="001316BA">
        <w:rPr>
          <w:rFonts w:cstheme="minorHAnsi"/>
        </w:rPr>
        <w:t xml:space="preserve">were aligned using </w:t>
      </w:r>
      <w:r w:rsidRPr="001316BA" w:rsidR="005676BF">
        <w:rPr>
          <w:rFonts w:cstheme="minorHAnsi"/>
        </w:rPr>
        <w:t xml:space="preserve">the </w:t>
      </w:r>
      <w:r w:rsidRPr="001316BA">
        <w:rPr>
          <w:rFonts w:cstheme="minorHAnsi"/>
        </w:rPr>
        <w:t xml:space="preserve">MAFFT </w:t>
      </w:r>
      <w:r w:rsidRPr="001316BA" w:rsidR="00677F5B">
        <w:rPr>
          <w:rFonts w:cstheme="minorHAnsi"/>
        </w:rPr>
        <w:t xml:space="preserve">software </w:t>
      </w:r>
      <w:r w:rsidRPr="001316BA">
        <w:rPr>
          <w:rFonts w:cstheme="minorHAnsi"/>
        </w:rPr>
        <w:t xml:space="preserve">downloaded locally on </w:t>
      </w:r>
      <w:r w:rsidRPr="001316BA" w:rsidR="005676BF">
        <w:rPr>
          <w:rFonts w:cstheme="minorHAnsi"/>
        </w:rPr>
        <w:t xml:space="preserve">my machine. Then, ul55 gene was </w:t>
      </w:r>
      <w:r w:rsidRPr="001316BA" w:rsidR="005676BF">
        <w:rPr>
          <w:rFonts w:cstheme="minorHAnsi"/>
        </w:rPr>
        <w:lastRenderedPageBreak/>
        <w:t xml:space="preserve">identified within the resultant alignment using the gene boundaries reported for the reference sequence. The new, smaller, ul55 alignment was then converted to its reverse-complement counterpart to account for the direction of gene transcription. The </w:t>
      </w:r>
      <w:r w:rsidRPr="001316BA" w:rsidR="00993B94">
        <w:rPr>
          <w:rFonts w:cstheme="minorHAnsi"/>
        </w:rPr>
        <w:t>nucleotide sequences were then converted to the corresponding amino acid sequences, and the resultant gB amino acid alignment was</w:t>
      </w:r>
      <w:r w:rsidRPr="001316BA" w:rsidR="00677F5B">
        <w:rPr>
          <w:rFonts w:cstheme="minorHAnsi"/>
        </w:rPr>
        <w:t xml:space="preserve"> finally</w:t>
      </w:r>
      <w:r w:rsidRPr="001316BA" w:rsidR="00993B94">
        <w:rPr>
          <w:rFonts w:cstheme="minorHAnsi"/>
        </w:rPr>
        <w:t xml:space="preserve"> re-aligned locally with MAFFT. </w:t>
      </w:r>
    </w:p>
    <w:p w:rsidRPr="001316BA" w:rsidR="002B4D4F" w:rsidP="00993B94" w:rsidRDefault="002B4D4F" w14:paraId="137D71F9" w14:textId="77777777">
      <w:pPr>
        <w:rPr>
          <w:rFonts w:cstheme="minorHAnsi"/>
        </w:rPr>
      </w:pPr>
    </w:p>
    <w:p w:rsidRPr="001316BA" w:rsidR="001316BA" w:rsidP="001316BA" w:rsidRDefault="002B4D4F" w14:paraId="4C0BFCE5" w14:textId="6BB99D57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Phylogenetic analysis</w:t>
      </w:r>
    </w:p>
    <w:p w:rsidRPr="001316BA" w:rsidR="001316BA" w:rsidP="001316BA" w:rsidRDefault="001316BA" w14:paraId="1C506AF6" w14:textId="77777777">
      <w:pPr>
        <w:rPr>
          <w:rFonts w:cstheme="minorHAnsi"/>
        </w:rPr>
      </w:pPr>
    </w:p>
    <w:p w:rsidRPr="001316BA" w:rsidR="002B4D4F" w:rsidP="002B4D4F" w:rsidRDefault="001316BA" w14:paraId="1B356937" w14:textId="6BF0460B">
      <w:pPr>
        <w:rPr>
          <w:rFonts w:cstheme="minorHAnsi"/>
        </w:rPr>
      </w:pPr>
      <w:r>
        <w:rPr>
          <w:rFonts w:cstheme="minorHAnsi"/>
        </w:rPr>
        <w:t xml:space="preserve">Maximum likelihood phylogenetic trees were constructed using </w:t>
      </w:r>
      <w:proofErr w:type="spellStart"/>
      <w:r>
        <w:rPr>
          <w:rFonts w:cstheme="minorHAnsi"/>
        </w:rPr>
        <w:t>IQTree</w:t>
      </w:r>
      <w:proofErr w:type="spellEnd"/>
      <w:r>
        <w:rPr>
          <w:rFonts w:cstheme="minorHAnsi"/>
        </w:rPr>
        <w:t xml:space="preserve"> </w:t>
      </w:r>
      <w:commentRangeStart w:id="0"/>
      <w:r>
        <w:rPr>
          <w:rFonts w:cstheme="minorHAnsi"/>
        </w:rPr>
        <w:t>software</w:t>
      </w:r>
      <w:commentRangeEnd w:id="0"/>
      <w:r>
        <w:rPr>
          <w:rStyle w:val="CommentReference"/>
        </w:rPr>
        <w:commentReference w:id="0"/>
      </w:r>
      <w:r>
        <w:rPr>
          <w:rFonts w:cstheme="minorHAnsi"/>
        </w:rPr>
        <w:t xml:space="preserve"> with WAG substitution matrix and 1000 </w:t>
      </w:r>
      <w:proofErr w:type="gramStart"/>
      <w:r>
        <w:rPr>
          <w:rFonts w:cstheme="minorHAnsi"/>
        </w:rPr>
        <w:t>bootstrap</w:t>
      </w:r>
      <w:proofErr w:type="gramEnd"/>
    </w:p>
    <w:p w:rsidRPr="001316BA" w:rsidR="002B4D4F" w:rsidP="002B4D4F" w:rsidRDefault="002B4D4F" w14:paraId="5B0F3D5C" w14:textId="77777777">
      <w:pPr>
        <w:rPr>
          <w:rFonts w:cstheme="minorHAnsi"/>
        </w:rPr>
      </w:pPr>
    </w:p>
    <w:p w:rsidR="001316BA" w:rsidP="001316BA" w:rsidRDefault="002B4D4F" w14:paraId="0B0AF8FC" w14:textId="77777777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PTM prediction </w:t>
      </w:r>
    </w:p>
    <w:p w:rsidR="001316BA" w:rsidP="001316BA" w:rsidRDefault="001316BA" w14:paraId="43AED86D" w14:textId="77777777">
      <w:pPr>
        <w:rPr>
          <w:rFonts w:eastAsia="Times New Roman" w:cstheme="minorHAnsi"/>
          <w:color w:val="000000" w:themeColor="text1"/>
        </w:rPr>
      </w:pPr>
    </w:p>
    <w:p w:rsidR="001316BA" w:rsidP="001316BA" w:rsidRDefault="001316BA" w14:paraId="1CFB55A9" w14:textId="16EFE5A4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Glycosylation sites within gB amino acid sequence were predicted using a </w:t>
      </w:r>
      <w:proofErr w:type="spellStart"/>
      <w:r>
        <w:rPr>
          <w:rFonts w:eastAsia="Times New Roman" w:cstheme="minorHAnsi"/>
          <w:color w:val="000000" w:themeColor="text1"/>
        </w:rPr>
        <w:t>MusiteDeep</w:t>
      </w:r>
      <w:proofErr w:type="spellEnd"/>
      <w:r>
        <w:rPr>
          <w:rFonts w:eastAsia="Times New Roman" w:cstheme="minorHAnsi"/>
          <w:color w:val="000000" w:themeColor="text1"/>
        </w:rPr>
        <w:t xml:space="preserve"> online </w:t>
      </w:r>
      <w:commentRangeStart w:id="1"/>
      <w:r>
        <w:rPr>
          <w:rFonts w:eastAsia="Times New Roman" w:cstheme="minorHAnsi"/>
          <w:color w:val="000000" w:themeColor="text1"/>
        </w:rPr>
        <w:t>tool</w:t>
      </w:r>
      <w:commentRangeEnd w:id="1"/>
      <w:r>
        <w:rPr>
          <w:rStyle w:val="CommentReference"/>
        </w:rPr>
        <w:commentReference w:id="1"/>
      </w:r>
      <w:r>
        <w:rPr>
          <w:rFonts w:eastAsia="Times New Roman" w:cstheme="minorHAnsi"/>
          <w:color w:val="000000" w:themeColor="text1"/>
        </w:rPr>
        <w:t xml:space="preserve"> </w:t>
      </w:r>
      <w:r w:rsidRPr="001316BA">
        <w:rPr>
          <w:rFonts w:cstheme="minorHAnsi"/>
          <w:highlight w:val="yellow"/>
        </w:rPr>
        <w:t>(link)</w:t>
      </w:r>
      <w:r w:rsidRPr="001316BA">
        <w:rPr>
          <w:rFonts w:cstheme="minorHAnsi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with default parameters. </w:t>
      </w:r>
    </w:p>
    <w:p w:rsidRPr="001316BA" w:rsidR="001316BA" w:rsidP="002B4D4F" w:rsidRDefault="001316BA" w14:paraId="5249E1B4" w14:textId="77777777">
      <w:pPr>
        <w:rPr>
          <w:rFonts w:cstheme="minorHAnsi"/>
        </w:rPr>
      </w:pPr>
    </w:p>
    <w:p w:rsidRPr="001316BA" w:rsidR="002B4D4F" w:rsidP="002B4D4F" w:rsidRDefault="002B4D4F" w14:paraId="2F8F309C" w14:textId="3EF575F4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Strain selection for </w:t>
      </w:r>
      <w:r w:rsidRPr="001316BA">
        <w:rPr>
          <w:rFonts w:cstheme="minorHAnsi"/>
          <w:i/>
          <w:iCs/>
        </w:rPr>
        <w:t xml:space="preserve">in vitro </w:t>
      </w:r>
      <w:r w:rsidRPr="001316BA">
        <w:rPr>
          <w:rFonts w:cstheme="minorHAnsi"/>
        </w:rPr>
        <w:t>work</w:t>
      </w:r>
    </w:p>
    <w:p w:rsidRPr="001316BA" w:rsidR="002B4D4F" w:rsidP="001316BA" w:rsidRDefault="001316BA" w14:paraId="7B6F938D" w14:textId="3164F538">
      <w:pPr>
        <w:rPr>
          <w:rFonts w:cstheme="minorHAnsi"/>
        </w:rPr>
      </w:pPr>
      <w:r>
        <w:rPr>
          <w:rFonts w:cstheme="minorHAnsi"/>
        </w:rPr>
        <w:t xml:space="preserve">Selection of strains for experimental work was determined by the availability of viruses that carry representative variants of AD-2. Four strains were chosen at the end. The nucleotide sequence of ul55 coding for a region that contains AD-2 was amplified via PCR and then sequenced by XXX with the help of colleagues at Breuer lab, UCL. Primers used for the PCR are listed in table </w:t>
      </w:r>
      <w:proofErr w:type="spellStart"/>
      <w:r w:rsidRPr="001316BA">
        <w:rPr>
          <w:rFonts w:cstheme="minorHAnsi"/>
          <w:highlight w:val="yellow"/>
        </w:rPr>
        <w:t>Primers_</w:t>
      </w:r>
      <w:proofErr w:type="gramStart"/>
      <w:r w:rsidRPr="001316BA">
        <w:rPr>
          <w:rFonts w:cstheme="minorHAnsi"/>
          <w:highlight w:val="yellow"/>
        </w:rPr>
        <w:t>table</w:t>
      </w:r>
      <w:proofErr w:type="spellEnd"/>
      <w:proofErr w:type="gramEnd"/>
    </w:p>
    <w:p w:rsidRPr="001316BA" w:rsidR="00C9378B" w:rsidRDefault="00C9378B" w14:paraId="0B5A74E2" w14:textId="77777777">
      <w:pPr>
        <w:rPr>
          <w:rFonts w:cstheme="minorHAnsi"/>
        </w:rPr>
      </w:pPr>
    </w:p>
    <w:p w:rsidRPr="001316BA" w:rsidR="00412709" w:rsidP="00717B9C" w:rsidRDefault="00C9378B" w14:paraId="29584E61" w14:textId="1E97229F">
      <w:pPr>
        <w:pStyle w:val="ListParagraph"/>
        <w:numPr>
          <w:ilvl w:val="0"/>
          <w:numId w:val="4"/>
        </w:numPr>
        <w:rPr>
          <w:rFonts w:cstheme="minorHAnsi"/>
        </w:rPr>
      </w:pPr>
      <w:r w:rsidRPr="001316BA">
        <w:rPr>
          <w:rFonts w:cstheme="minorHAnsi"/>
          <w:i/>
          <w:iCs/>
        </w:rPr>
        <w:t>In vitro</w:t>
      </w:r>
      <w:r w:rsidRPr="001316BA" w:rsidR="00F81F28">
        <w:rPr>
          <w:rFonts w:cstheme="minorHAnsi"/>
        </w:rPr>
        <w:t xml:space="preserve"> work</w:t>
      </w:r>
    </w:p>
    <w:p w:rsidRPr="001316BA" w:rsidR="00C9378B" w:rsidRDefault="00C9378B" w14:paraId="4E459CAE" w14:textId="77777777">
      <w:pPr>
        <w:rPr>
          <w:rFonts w:cstheme="minorHAnsi"/>
        </w:rPr>
      </w:pPr>
    </w:p>
    <w:p w:rsidRPr="001316BA" w:rsidR="00717B9C" w:rsidRDefault="00717B9C" w14:paraId="72AB73D1" w14:textId="77777777">
      <w:pPr>
        <w:rPr>
          <w:rFonts w:cstheme="minorHAnsi"/>
        </w:rPr>
      </w:pPr>
    </w:p>
    <w:p w:rsidRPr="001316BA" w:rsidR="00412709" w:rsidP="006131F2" w:rsidRDefault="00412709" w14:paraId="21F620B4" w14:textId="5EFB4129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Recombineering</w:t>
      </w:r>
    </w:p>
    <w:p w:rsidRPr="001316BA" w:rsidR="00717B9C" w:rsidP="00717B9C" w:rsidRDefault="00717B9C" w14:paraId="3FD275A7" w14:textId="77777777">
      <w:pPr>
        <w:rPr>
          <w:rFonts w:cstheme="minorHAnsi"/>
        </w:rPr>
      </w:pPr>
    </w:p>
    <w:p w:rsidR="00D865AC" w:rsidP="4436B956" w:rsidRDefault="00D865AC" w14:paraId="27980EC9" w14:textId="4DA98C32">
      <w:pPr>
        <w:rPr>
          <w:rFonts w:cs="Calibri" w:cstheme="minorAscii"/>
        </w:rPr>
      </w:pPr>
      <w:r w:rsidRPr="4436B956" w:rsidR="612A9FAF">
        <w:rPr>
          <w:rFonts w:cs="Calibri" w:cstheme="minorAscii"/>
        </w:rPr>
        <w:t>2.1.1 First round</w:t>
      </w:r>
    </w:p>
    <w:p w:rsidR="612A9FAF" w:rsidP="4436B956" w:rsidRDefault="612A9FAF" w14:paraId="1F8F3B29" w14:textId="4F97428C">
      <w:pPr>
        <w:pStyle w:val="Normal"/>
        <w:rPr>
          <w:rFonts w:cs="Calibri" w:cstheme="minorAscii"/>
        </w:rPr>
      </w:pPr>
      <w:r w:rsidRPr="4436B956" w:rsidR="612A9FAF">
        <w:rPr>
          <w:rFonts w:cs="Calibri" w:cstheme="minorAscii"/>
        </w:rPr>
        <w:t>2.1.2 Second round</w:t>
      </w:r>
    </w:p>
    <w:p w:rsidR="4436B956" w:rsidP="4436B956" w:rsidRDefault="4436B956" w14:paraId="665865D1" w14:textId="553B3745">
      <w:pPr>
        <w:pStyle w:val="Normal"/>
        <w:rPr>
          <w:rFonts w:cs="Calibri" w:cstheme="minorAscii"/>
        </w:rPr>
      </w:pPr>
    </w:p>
    <w:p w:rsidR="4436B956" w:rsidP="4436B956" w:rsidRDefault="4436B956" w14:paraId="12DF3071" w14:textId="5D7FA9B9">
      <w:pPr>
        <w:pStyle w:val="Normal"/>
        <w:rPr>
          <w:rFonts w:cs="Calibri" w:cstheme="minorAscii"/>
        </w:rPr>
      </w:pPr>
    </w:p>
    <w:p w:rsidR="612A9FAF" w:rsidP="4436B956" w:rsidRDefault="612A9FAF" w14:paraId="7E70BA04" w14:textId="68D4FD37">
      <w:pPr>
        <w:rPr>
          <w:rFonts w:cs="Calibri" w:cstheme="minorAscii"/>
        </w:rPr>
      </w:pPr>
      <w:r w:rsidRPr="4436B956" w:rsidR="612A9FAF">
        <w:rPr>
          <w:rFonts w:cs="Calibri" w:cstheme="minorAscii"/>
        </w:rPr>
        <w:t xml:space="preserve">2.1.3 </w:t>
      </w:r>
      <w:r w:rsidRPr="4436B956" w:rsidR="758D374E">
        <w:rPr>
          <w:rFonts w:cs="Calibri" w:cstheme="minorAscii"/>
        </w:rPr>
        <w:t>BAC Maxiprep</w:t>
      </w:r>
    </w:p>
    <w:p w:rsidR="612A9FAF" w:rsidP="4436B956" w:rsidRDefault="612A9FAF" w14:paraId="6E623BA8" w14:textId="4996F513">
      <w:pPr>
        <w:pStyle w:val="Normal"/>
        <w:rPr>
          <w:rFonts w:cs="Calibri" w:cstheme="minorAscii"/>
        </w:rPr>
      </w:pPr>
      <w:r w:rsidRPr="4436B956" w:rsidR="612A9FAF">
        <w:rPr>
          <w:rFonts w:cs="Calibri" w:cstheme="minorAscii"/>
        </w:rPr>
        <w:t xml:space="preserve">2.1.4 </w:t>
      </w:r>
      <w:r w:rsidRPr="4436B956" w:rsidR="5948D549">
        <w:rPr>
          <w:rFonts w:cs="Calibri" w:cstheme="minorAscii"/>
        </w:rPr>
        <w:t xml:space="preserve">Transfection </w:t>
      </w:r>
    </w:p>
    <w:p w:rsidR="4436B956" w:rsidP="4436B956" w:rsidRDefault="4436B956" w14:paraId="55854B9F" w14:textId="76CD7D55">
      <w:pPr>
        <w:pStyle w:val="Normal"/>
        <w:rPr>
          <w:rFonts w:cs="Calibri" w:cstheme="minorAscii"/>
        </w:rPr>
      </w:pPr>
    </w:p>
    <w:p w:rsidR="00D865AC" w:rsidP="00717B9C" w:rsidRDefault="00D865AC" w14:paraId="68DA6429" w14:textId="42725317">
      <w:pPr>
        <w:rPr>
          <w:rFonts w:cstheme="minorHAnsi"/>
        </w:rPr>
      </w:pPr>
      <w:r>
        <w:rPr>
          <w:rFonts w:cstheme="minorHAnsi"/>
        </w:rPr>
        <w:t xml:space="preserve">MAXIPREPS </w:t>
      </w:r>
    </w:p>
    <w:p w:rsidR="00D865AC" w:rsidP="00D865AC" w:rsidRDefault="00D865AC" w14:paraId="7CA4F458" w14:textId="057E8ED8">
      <w:pPr>
        <w:rPr>
          <w:rFonts w:cstheme="minorHAnsi"/>
        </w:rPr>
      </w:pPr>
      <w:r>
        <w:rPr>
          <w:rFonts w:cstheme="minorHAnsi"/>
        </w:rPr>
        <w:t>Optimising ^^^^^^^</w:t>
      </w:r>
    </w:p>
    <w:p w:rsidRPr="001316BA" w:rsidR="00717B9C" w:rsidP="4436B956" w:rsidRDefault="00717B9C" w14:paraId="625443EE" w14:textId="275B730F">
      <w:pPr>
        <w:rPr>
          <w:rFonts w:cs="Calibri" w:cstheme="minorAscii"/>
        </w:rPr>
      </w:pPr>
      <w:r w:rsidRPr="4436B956" w:rsidR="00D865AC">
        <w:rPr>
          <w:rFonts w:cs="Calibri" w:cstheme="minorAscii"/>
        </w:rPr>
        <w:t>Introducing an extra spin step</w:t>
      </w:r>
    </w:p>
    <w:p w:rsidR="4436B956" w:rsidP="4436B956" w:rsidRDefault="4436B956" w14:paraId="3E2A9479" w14:textId="2BD53244">
      <w:pPr>
        <w:pStyle w:val="Normal"/>
        <w:rPr>
          <w:rFonts w:cs="Calibri" w:cstheme="minorAscii"/>
        </w:rPr>
      </w:pPr>
    </w:p>
    <w:p w:rsidRPr="001316BA" w:rsidR="006131F2" w:rsidP="006131F2" w:rsidRDefault="006131F2" w14:paraId="4EE45653" w14:textId="58BE7ADC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Neutralisation assays</w:t>
      </w:r>
    </w:p>
    <w:p w:rsidRPr="001316BA" w:rsidR="00B11B8A" w:rsidP="00717B9C" w:rsidRDefault="00B11B8A" w14:paraId="1E79D29D" w14:textId="77777777">
      <w:pPr>
        <w:rPr>
          <w:rFonts w:cstheme="minorHAnsi"/>
        </w:rPr>
      </w:pPr>
    </w:p>
    <w:p w:rsidRPr="001316BA" w:rsidR="00B11B8A" w:rsidP="00717B9C" w:rsidRDefault="00B11B8A" w14:paraId="63DA6428" w14:textId="177B69A7">
      <w:pPr>
        <w:rPr>
          <w:rFonts w:cstheme="minorHAnsi"/>
        </w:rPr>
      </w:pPr>
    </w:p>
    <w:p w:rsidRPr="001316BA" w:rsidR="00652A1D" w:rsidP="00652A1D" w:rsidRDefault="00652A1D" w14:paraId="17D1B769" w14:textId="77777777">
      <w:pPr>
        <w:rPr>
          <w:rFonts w:cstheme="minorHAnsi"/>
        </w:rPr>
      </w:pPr>
      <w:r w:rsidRPr="001316BA">
        <w:rPr>
          <w:rFonts w:cstheme="minorHAnsi"/>
        </w:rPr>
        <w:t>The amount of the virus needed to obtain a consistent level of infection across 4 strains was determined through a series of infection assays with varying viral titres.</w:t>
      </w:r>
    </w:p>
    <w:p w:rsidRPr="001316BA" w:rsidR="00652A1D" w:rsidP="00652A1D" w:rsidRDefault="00652A1D" w14:paraId="3F4ED512" w14:textId="77777777">
      <w:pPr>
        <w:rPr>
          <w:rFonts w:cstheme="minorHAnsi"/>
        </w:rPr>
      </w:pPr>
    </w:p>
    <w:p w:rsidRPr="00D865AC" w:rsidR="00D865AC" w:rsidP="00D865AC" w:rsidRDefault="002B4D4F" w14:paraId="7044A9A0" w14:textId="5517978A">
      <w:pPr>
        <w:rPr>
          <w:rFonts w:cstheme="minorHAnsi"/>
        </w:rPr>
      </w:pPr>
      <w:r w:rsidRPr="001316BA">
        <w:rPr>
          <w:rFonts w:cstheme="minorHAnsi"/>
        </w:rPr>
        <w:t xml:space="preserve">On the day of the assay </w:t>
      </w:r>
      <w:r w:rsidRPr="001316BA" w:rsidR="00307989">
        <w:rPr>
          <w:rFonts w:cstheme="minorHAnsi"/>
        </w:rPr>
        <w:t xml:space="preserve">the needed amount of each virus was combined with the relevant dilution of the ITC88 monoclonal antibody </w:t>
      </w:r>
      <w:r w:rsidRPr="001316BA" w:rsidR="00307989">
        <w:rPr>
          <w:rFonts w:cstheme="minorHAnsi"/>
          <w:highlight w:val="yellow"/>
        </w:rPr>
        <w:t>(manufacturer)</w:t>
      </w:r>
      <w:r w:rsidRPr="001316BA" w:rsidR="00307989">
        <w:rPr>
          <w:rFonts w:cstheme="minorHAnsi"/>
        </w:rPr>
        <w:t xml:space="preserve"> that targets AD-2 site</w:t>
      </w:r>
      <w:r w:rsidRPr="001316BA" w:rsidR="00BA5832">
        <w:rPr>
          <w:rFonts w:cstheme="minorHAnsi"/>
        </w:rPr>
        <w:t xml:space="preserve"> 1</w:t>
      </w:r>
      <w:r w:rsidRPr="001316BA" w:rsidR="00307989">
        <w:rPr>
          <w:rFonts w:cstheme="minorHAnsi"/>
        </w:rPr>
        <w:t xml:space="preserve">. </w:t>
      </w:r>
      <w:r w:rsidRPr="001316BA" w:rsidR="00BA5832">
        <w:rPr>
          <w:rFonts w:cstheme="minorHAnsi"/>
        </w:rPr>
        <w:t>The</w:t>
      </w:r>
      <w:r w:rsidRPr="001316BA" w:rsidR="00652A1D">
        <w:rPr>
          <w:rFonts w:cstheme="minorHAnsi"/>
        </w:rPr>
        <w:t xml:space="preserve"> virus-antibody cocktail was </w:t>
      </w:r>
      <w:r w:rsidRPr="001316BA" w:rsidR="00BA5832">
        <w:rPr>
          <w:rFonts w:cstheme="minorHAnsi"/>
        </w:rPr>
        <w:t xml:space="preserve">inoculated at 37°C for 1 hour and </w:t>
      </w:r>
      <w:r w:rsidRPr="001316BA" w:rsidR="00652A1D">
        <w:rPr>
          <w:rFonts w:cstheme="minorHAnsi"/>
        </w:rPr>
        <w:t>then introduced onto cells</w:t>
      </w:r>
      <w:r w:rsidRPr="001316BA" w:rsidR="00BA5832">
        <w:rPr>
          <w:rFonts w:cstheme="minorHAnsi"/>
        </w:rPr>
        <w:t>. After 3 hours at 37°C all liquid above cells was removed and changed for plain media.</w:t>
      </w:r>
    </w:p>
    <w:p w:rsidRPr="001316BA" w:rsidR="007760C5" w:rsidP="00717B9C" w:rsidRDefault="007760C5" w14:paraId="2D8EEBD2" w14:textId="77777777">
      <w:pPr>
        <w:rPr>
          <w:rFonts w:cstheme="minorHAnsi"/>
        </w:rPr>
      </w:pPr>
    </w:p>
    <w:p w:rsidRPr="001316BA" w:rsidR="007760C5" w:rsidP="00717B9C" w:rsidRDefault="001316BA" w14:paraId="21405073" w14:textId="4EDC01A0">
      <w:pPr>
        <w:rPr>
          <w:rFonts w:cstheme="minorHAnsi"/>
        </w:rPr>
      </w:pPr>
      <w:r w:rsidRPr="001316BA">
        <w:rPr>
          <w:rFonts w:cstheme="minorHAnsi"/>
        </w:rPr>
        <w:t xml:space="preserve">Online resource “Very Simple IC50 Tool Kit” </w:t>
      </w:r>
      <w:r w:rsidRPr="001316BA">
        <w:rPr>
          <w:rFonts w:cstheme="minorHAnsi"/>
          <w:highlight w:val="yellow"/>
        </w:rPr>
        <w:t>(link)</w:t>
      </w:r>
      <w:r w:rsidRPr="001316BA">
        <w:rPr>
          <w:rFonts w:cstheme="minorHAnsi"/>
        </w:rPr>
        <w:t xml:space="preserve"> extensively was used to calculate IC50 values. </w:t>
      </w:r>
    </w:p>
    <w:p w:rsidRPr="001316BA" w:rsidR="001316BA" w:rsidP="00717B9C" w:rsidRDefault="001316BA" w14:paraId="5FFF8C69" w14:textId="77777777">
      <w:pPr>
        <w:rPr>
          <w:rFonts w:cstheme="minorHAnsi"/>
        </w:rPr>
      </w:pPr>
    </w:p>
    <w:p w:rsidRPr="001316BA" w:rsidR="006131F2" w:rsidP="006131F2" w:rsidRDefault="006131F2" w14:paraId="2EBF7C41" w14:textId="09C624CF">
      <w:pPr>
        <w:pStyle w:val="ListParagraph"/>
        <w:numPr>
          <w:ilvl w:val="1"/>
          <w:numId w:val="4"/>
        </w:numPr>
        <w:rPr>
          <w:rFonts w:cstheme="minorHAnsi"/>
        </w:rPr>
      </w:pPr>
      <w:r w:rsidRPr="001316BA">
        <w:rPr>
          <w:rFonts w:cstheme="minorHAnsi"/>
        </w:rPr>
        <w:t>ELISA</w:t>
      </w:r>
    </w:p>
    <w:p w:rsidRPr="001316BA" w:rsidR="007A72B3" w:rsidP="007A72B3" w:rsidRDefault="007A72B3" w14:paraId="52E22FB1" w14:textId="77777777">
      <w:pPr>
        <w:rPr>
          <w:rFonts w:cstheme="minorHAnsi"/>
        </w:rPr>
      </w:pPr>
    </w:p>
    <w:p w:rsidRPr="001316BA" w:rsidR="00CC35C9" w:rsidP="00CD47B4" w:rsidRDefault="009D5C92" w14:paraId="57061F08" w14:textId="152C7C65">
      <w:pPr>
        <w:rPr>
          <w:rFonts w:cstheme="minorHAnsi"/>
        </w:rPr>
      </w:pPr>
      <w:r w:rsidRPr="001316BA">
        <w:rPr>
          <w:rFonts w:cstheme="minorHAnsi"/>
        </w:rPr>
        <w:t xml:space="preserve">Optimisation steps included </w:t>
      </w:r>
      <w:r w:rsidRPr="001316BA" w:rsidR="007A72B3">
        <w:rPr>
          <w:rFonts w:cstheme="minorHAnsi"/>
        </w:rPr>
        <w:t xml:space="preserve">washing with excess of </w:t>
      </w:r>
      <w:r w:rsidRPr="001316BA">
        <w:rPr>
          <w:rFonts w:cstheme="minorHAnsi"/>
        </w:rPr>
        <w:t xml:space="preserve">6M urea </w:t>
      </w:r>
      <w:r w:rsidRPr="001316BA">
        <w:rPr>
          <w:rFonts w:cstheme="minorHAnsi"/>
          <w:highlight w:val="yellow"/>
        </w:rPr>
        <w:t>(manufacturer)</w:t>
      </w:r>
      <w:r w:rsidRPr="001316BA">
        <w:rPr>
          <w:rFonts w:cstheme="minorHAnsi"/>
        </w:rPr>
        <w:t xml:space="preserve"> PBS</w:t>
      </w:r>
      <w:r w:rsidRPr="001316BA" w:rsidR="007A72B3">
        <w:rPr>
          <w:rFonts w:cstheme="minorHAnsi"/>
        </w:rPr>
        <w:t>-</w:t>
      </w:r>
      <w:r w:rsidRPr="001316BA">
        <w:rPr>
          <w:rFonts w:cstheme="minorHAnsi"/>
        </w:rPr>
        <w:t xml:space="preserve">T solution after the primary antibody incubation. Ultimately, this step was not improving the </w:t>
      </w:r>
      <w:r w:rsidRPr="001316BA" w:rsidR="000B2F08">
        <w:rPr>
          <w:rFonts w:cstheme="minorHAnsi"/>
        </w:rPr>
        <w:t xml:space="preserve">outcome </w:t>
      </w:r>
      <w:r w:rsidRPr="001316BA">
        <w:rPr>
          <w:rFonts w:cstheme="minorHAnsi"/>
        </w:rPr>
        <w:t xml:space="preserve">quality and was therefore removed for simplicity.  </w:t>
      </w:r>
    </w:p>
    <w:p w:rsidRPr="001316BA" w:rsidR="00717B9C" w:rsidP="00717B9C" w:rsidRDefault="00717B9C" w14:paraId="3235C41D" w14:textId="77777777">
      <w:pPr>
        <w:rPr>
          <w:rFonts w:cstheme="minorHAnsi"/>
        </w:rPr>
      </w:pPr>
    </w:p>
    <w:p w:rsidRPr="001316BA" w:rsidR="006131F2" w:rsidP="006131F2" w:rsidRDefault="006131F2" w14:paraId="1F31F673" w14:textId="0A1337B3">
      <w:pPr>
        <w:pStyle w:val="ListParagraph"/>
        <w:numPr>
          <w:ilvl w:val="2"/>
          <w:numId w:val="4"/>
        </w:numPr>
        <w:rPr>
          <w:rFonts w:cstheme="minorHAnsi"/>
        </w:rPr>
      </w:pPr>
      <w:r w:rsidRPr="001316BA">
        <w:rPr>
          <w:rFonts w:cstheme="minorHAnsi"/>
        </w:rPr>
        <w:t xml:space="preserve">Peptide </w:t>
      </w:r>
      <w:r w:rsidRPr="001316BA" w:rsidR="00CC35C9">
        <w:rPr>
          <w:rFonts w:cstheme="minorHAnsi"/>
        </w:rPr>
        <w:t>preparation</w:t>
      </w:r>
      <w:r w:rsidRPr="001316BA" w:rsidR="00CD47B4">
        <w:rPr>
          <w:rFonts w:cstheme="minorHAnsi"/>
        </w:rPr>
        <w:t xml:space="preserve"> and coating</w:t>
      </w:r>
    </w:p>
    <w:p w:rsidRPr="001316BA" w:rsidR="00C2265B" w:rsidP="00C2265B" w:rsidRDefault="00C2265B" w14:paraId="19495BBD" w14:textId="77777777">
      <w:pPr>
        <w:rPr>
          <w:rFonts w:cstheme="minorHAnsi"/>
        </w:rPr>
      </w:pPr>
    </w:p>
    <w:p w:rsidRPr="001316BA" w:rsidR="00CC35C9" w:rsidP="4436B956" w:rsidRDefault="00CC35C9" w14:paraId="4A5B23EE" w14:textId="0A54E8CB">
      <w:pPr>
        <w:rPr>
          <w:rFonts w:cs="Calibri" w:cstheme="minorAscii"/>
        </w:rPr>
      </w:pPr>
      <w:r w:rsidRPr="4436B956" w:rsidR="00CC35C9">
        <w:rPr>
          <w:rFonts w:cs="Calibri" w:cstheme="minorAscii"/>
        </w:rPr>
        <w:t>Custom-made AD-2 site 2 peptides (</w:t>
      </w:r>
      <w:r w:rsidRPr="4436B956" w:rsidR="6837DC03">
        <w:rPr>
          <w:rFonts w:cs="Calibri" w:cstheme="minorAscii"/>
          <w:highlight w:val="yellow"/>
        </w:rPr>
        <w:t>Peptide table</w:t>
      </w:r>
      <w:r w:rsidRPr="4436B956" w:rsidR="00CC35C9">
        <w:rPr>
          <w:rFonts w:cs="Calibri" w:cstheme="minorAscii"/>
        </w:rPr>
        <w:t xml:space="preserve">) </w:t>
      </w:r>
      <w:r w:rsidRPr="4436B956" w:rsidR="00CC35C9">
        <w:rPr>
          <w:rFonts w:cs="Calibri" w:cstheme="minorAscii"/>
        </w:rPr>
        <w:t xml:space="preserve">were </w:t>
      </w:r>
      <w:r w:rsidRPr="4436B956" w:rsidR="00CC35C9">
        <w:rPr>
          <w:rFonts w:cs="Calibri" w:cstheme="minorAscii"/>
        </w:rPr>
        <w:t>purc</w:t>
      </w:r>
      <w:r w:rsidRPr="4436B956" w:rsidR="00CC35C9">
        <w:rPr>
          <w:rFonts w:cs="Calibri" w:cstheme="minorAscii"/>
        </w:rPr>
        <w:t>hased</w:t>
      </w:r>
      <w:r w:rsidRPr="4436B956" w:rsidR="00CC35C9">
        <w:rPr>
          <w:rFonts w:cs="Calibri" w:cstheme="minorAscii"/>
        </w:rPr>
        <w:t xml:space="preserve"> from Peptide2.0 US and made up from lyophilised powder with 100% D</w:t>
      </w:r>
      <w:r w:rsidRPr="4436B956" w:rsidR="00CC35C9">
        <w:rPr>
          <w:rFonts w:cs="Calibri" w:cstheme="minorAscii"/>
        </w:rPr>
        <w:t>MSO</w:t>
      </w:r>
      <w:r w:rsidRPr="4436B956" w:rsidR="008F5574">
        <w:rPr>
          <w:rFonts w:cs="Calibri" w:cstheme="minorAscii"/>
        </w:rPr>
        <w:t xml:space="preserve"> </w:t>
      </w:r>
      <w:r w:rsidRPr="4436B956" w:rsidR="008F5574">
        <w:rPr>
          <w:rFonts w:cs="Calibri" w:cstheme="minorAscii"/>
          <w:highlight w:val="yellow"/>
        </w:rPr>
        <w:t>(</w:t>
      </w:r>
      <w:r w:rsidRPr="4436B956" w:rsidR="008F5574">
        <w:rPr>
          <w:rFonts w:cs="Calibri" w:cstheme="minorAscii"/>
          <w:highlight w:val="yellow"/>
        </w:rPr>
        <w:t>manufacturer</w:t>
      </w:r>
      <w:r w:rsidRPr="4436B956" w:rsidR="008F5574">
        <w:rPr>
          <w:rFonts w:cs="Calibri" w:cstheme="minorAscii"/>
          <w:highlight w:val="yellow"/>
        </w:rPr>
        <w:t>)</w:t>
      </w:r>
      <w:r w:rsidRPr="4436B956" w:rsidR="008F5574">
        <w:rPr>
          <w:rFonts w:cs="Calibri" w:cstheme="minorAscii"/>
        </w:rPr>
        <w:t xml:space="preserve"> </w:t>
      </w:r>
      <w:r w:rsidRPr="4436B956" w:rsidR="00CD47B4">
        <w:rPr>
          <w:rFonts w:cs="Calibri" w:cstheme="minorAscii"/>
        </w:rPr>
        <w:t xml:space="preserve"> to</w:t>
      </w:r>
      <w:r w:rsidRPr="4436B956" w:rsidR="00CD47B4">
        <w:rPr>
          <w:rFonts w:cs="Calibri" w:cstheme="minorAscii"/>
        </w:rPr>
        <w:t xml:space="preserve"> 10mg/mL stock concentration</w:t>
      </w:r>
      <w:r w:rsidRPr="4436B956" w:rsidR="00CC35C9">
        <w:rPr>
          <w:rFonts w:cs="Calibri" w:cstheme="minorAscii"/>
        </w:rPr>
        <w:t xml:space="preserve">. A -GGC tag was added to each sequence’s C terminus to improve coating efficiency and reduce non-specific binding </w:t>
      </w:r>
      <w:r w:rsidRPr="4436B956" w:rsidR="00CC35C9">
        <w:rPr>
          <w:rFonts w:cs="Calibri" w:cstheme="minorAscii"/>
          <w:highlight w:val="yellow"/>
        </w:rPr>
        <w:t>(</w:t>
      </w:r>
      <w:r w:rsidRPr="4436B956" w:rsidR="004C06FC">
        <w:rPr>
          <w:rFonts w:cs="Calibri" w:cstheme="minorAscii"/>
          <w:highlight w:val="yellow"/>
        </w:rPr>
        <w:t>ref</w:t>
      </w:r>
      <w:r w:rsidRPr="4436B956" w:rsidR="00CC35C9">
        <w:rPr>
          <w:rFonts w:cs="Calibri" w:cstheme="minorAscii"/>
          <w:highlight w:val="yellow"/>
        </w:rPr>
        <w:t>???).</w:t>
      </w:r>
    </w:p>
    <w:p w:rsidRPr="001316BA" w:rsidR="00CD47B4" w:rsidP="00CC35C9" w:rsidRDefault="00CD47B4" w14:paraId="5B43B499" w14:textId="77777777">
      <w:pPr>
        <w:rPr>
          <w:rFonts w:cstheme="minorHAnsi"/>
        </w:rPr>
      </w:pPr>
    </w:p>
    <w:p w:rsidRPr="001316BA" w:rsidR="00CD47B4" w:rsidP="00CC35C9" w:rsidRDefault="00CD47B4" w14:paraId="3B2D8C4E" w14:textId="03267166">
      <w:pPr>
        <w:rPr>
          <w:rFonts w:cstheme="minorHAnsi"/>
        </w:rPr>
      </w:pPr>
      <w:r w:rsidRPr="001316BA">
        <w:rPr>
          <w:rFonts w:cstheme="minorHAnsi"/>
        </w:rPr>
        <w:t xml:space="preserve">Each peptide was made up from stock with </w:t>
      </w:r>
      <w:r w:rsidRPr="001316BA" w:rsidR="005B6C50">
        <w:rPr>
          <w:rFonts w:cstheme="minorHAnsi"/>
        </w:rPr>
        <w:t xml:space="preserve">the coating buffer </w:t>
      </w:r>
      <w:r w:rsidRPr="001316BA" w:rsidR="008F5574">
        <w:rPr>
          <w:rFonts w:cstheme="minorHAnsi"/>
        </w:rPr>
        <w:t>to a concentration of 1µg/</w:t>
      </w:r>
      <w:proofErr w:type="spellStart"/>
      <w:r w:rsidRPr="001316BA" w:rsidR="008F5574">
        <w:rPr>
          <w:rFonts w:cstheme="minorHAnsi"/>
        </w:rPr>
        <w:t>mL.</w:t>
      </w:r>
      <w:proofErr w:type="spellEnd"/>
      <w:r w:rsidRPr="001316BA" w:rsidR="008F5574">
        <w:rPr>
          <w:rFonts w:cstheme="minorHAnsi"/>
        </w:rPr>
        <w:t xml:space="preserve"> An equivalent </w:t>
      </w:r>
      <w:r w:rsidRPr="001316BA">
        <w:rPr>
          <w:rFonts w:cstheme="minorHAnsi"/>
        </w:rPr>
        <w:t xml:space="preserve">dilution of 100% DMSO </w:t>
      </w:r>
      <w:r w:rsidRPr="001316BA" w:rsidR="008F5574">
        <w:rPr>
          <w:rFonts w:cstheme="minorHAnsi"/>
        </w:rPr>
        <w:t xml:space="preserve">in coating buffer </w:t>
      </w:r>
      <w:r w:rsidRPr="001316BA">
        <w:rPr>
          <w:rFonts w:cstheme="minorHAnsi"/>
        </w:rPr>
        <w:t>was used as a negative control.</w:t>
      </w:r>
    </w:p>
    <w:p w:rsidRPr="001316BA" w:rsidR="00CD47B4" w:rsidP="00CD47B4" w:rsidRDefault="00CD47B4" w14:paraId="30E2C197" w14:textId="77777777">
      <w:pPr>
        <w:rPr>
          <w:rFonts w:cstheme="minorHAnsi"/>
        </w:rPr>
      </w:pPr>
    </w:p>
    <w:p w:rsidRPr="001316BA" w:rsidR="006131F2" w:rsidP="4436B956" w:rsidRDefault="006131F2" w14:paraId="181C95D5" w14:textId="3B2B56CA" w14:noSpellErr="1">
      <w:pPr>
        <w:pStyle w:val="ListParagraph"/>
        <w:numPr>
          <w:ilvl w:val="2"/>
          <w:numId w:val="4"/>
        </w:numPr>
        <w:rPr>
          <w:rFonts w:cs="Calibri" w:cstheme="minorAscii"/>
          <w:highlight w:val="yellow"/>
        </w:rPr>
      </w:pPr>
      <w:r w:rsidRPr="4436B956" w:rsidR="006131F2">
        <w:rPr>
          <w:rFonts w:cs="Calibri" w:cstheme="minorAscii"/>
          <w:highlight w:val="yellow"/>
        </w:rPr>
        <w:t>Whole virion</w:t>
      </w:r>
      <w:r w:rsidRPr="4436B956" w:rsidR="00CD47B4">
        <w:rPr>
          <w:rFonts w:cs="Calibri" w:cstheme="minorAscii"/>
          <w:highlight w:val="yellow"/>
        </w:rPr>
        <w:t xml:space="preserve"> preparation and coating</w:t>
      </w:r>
    </w:p>
    <w:p w:rsidRPr="001316BA" w:rsidR="000B2014" w:rsidP="4436B956" w:rsidRDefault="000B2014" w14:paraId="4D0ADA48" w14:textId="77777777" w14:noSpellErr="1">
      <w:pPr>
        <w:rPr>
          <w:rFonts w:cs="Calibri" w:cstheme="minorAscii"/>
          <w:highlight w:val="yellow"/>
        </w:rPr>
      </w:pPr>
    </w:p>
    <w:p w:rsidRPr="001316BA" w:rsidR="00B146DE" w:rsidP="4436B956" w:rsidRDefault="00B146DE" w14:paraId="32D88019" w14:textId="129BB2D4" w14:noSpellErr="1">
      <w:pPr>
        <w:rPr>
          <w:rFonts w:cs="Calibri" w:cstheme="minorAscii"/>
          <w:highlight w:val="yellow"/>
        </w:rPr>
      </w:pPr>
      <w:r w:rsidRPr="4436B956" w:rsidR="00B146DE">
        <w:rPr>
          <w:rFonts w:cs="Calibri" w:cstheme="minorAscii"/>
          <w:highlight w:val="yellow"/>
        </w:rPr>
        <w:t xml:space="preserve">An optimisation ELISA was conducted to </w:t>
      </w:r>
      <w:r w:rsidRPr="4436B956" w:rsidR="00B146DE">
        <w:rPr>
          <w:rFonts w:cs="Calibri" w:cstheme="minorAscii"/>
          <w:highlight w:val="yellow"/>
        </w:rPr>
        <w:t>determine</w:t>
      </w:r>
      <w:r w:rsidRPr="4436B956" w:rsidR="00B146DE">
        <w:rPr>
          <w:rFonts w:cs="Calibri" w:cstheme="minorAscii"/>
          <w:highlight w:val="yellow"/>
        </w:rPr>
        <w:t xml:space="preserve"> the </w:t>
      </w:r>
      <w:r w:rsidRPr="4436B956" w:rsidR="00993B94">
        <w:rPr>
          <w:rFonts w:cs="Calibri" w:cstheme="minorAscii"/>
          <w:highlight w:val="yellow"/>
        </w:rPr>
        <w:t>amount</w:t>
      </w:r>
      <w:r w:rsidRPr="4436B956" w:rsidR="00B146DE">
        <w:rPr>
          <w:rFonts w:cs="Calibri" w:cstheme="minorAscii"/>
          <w:highlight w:val="yellow"/>
        </w:rPr>
        <w:t xml:space="preserve"> of virus needed </w:t>
      </w:r>
      <w:r w:rsidRPr="4436B956" w:rsidR="00993B94">
        <w:rPr>
          <w:rFonts w:cs="Calibri" w:cstheme="minorAscii"/>
          <w:highlight w:val="yellow"/>
        </w:rPr>
        <w:t>to</w:t>
      </w:r>
      <w:r w:rsidRPr="4436B956" w:rsidR="00B146DE">
        <w:rPr>
          <w:rFonts w:cs="Calibri" w:cstheme="minorAscii"/>
          <w:highlight w:val="yellow"/>
        </w:rPr>
        <w:t xml:space="preserve"> coat the plate in excess.</w:t>
      </w:r>
      <w:r w:rsidRPr="4436B956" w:rsidR="00B146DE">
        <w:rPr>
          <w:rFonts w:cs="Calibri" w:cstheme="minorAscii"/>
        </w:rPr>
        <w:t xml:space="preserve"> </w:t>
      </w:r>
    </w:p>
    <w:p w:rsidRPr="001316BA" w:rsidR="00B146DE" w:rsidP="4436B956" w:rsidRDefault="00B146DE" w14:paraId="276C7C9E" w14:textId="77777777" w14:noSpellErr="1">
      <w:pPr>
        <w:rPr>
          <w:rFonts w:cs="Calibri" w:cstheme="minorAscii"/>
          <w:highlight w:val="yellow"/>
        </w:rPr>
      </w:pPr>
    </w:p>
    <w:p w:rsidRPr="001316BA" w:rsidR="00C2265B" w:rsidP="4436B956" w:rsidRDefault="00C2265B" w14:paraId="0DB84490" w14:textId="77777777" w14:noSpellErr="1">
      <w:pPr>
        <w:rPr>
          <w:rFonts w:cs="Calibri" w:cstheme="minorAscii"/>
          <w:highlight w:val="yellow"/>
        </w:rPr>
      </w:pPr>
    </w:p>
    <w:p w:rsidRPr="001316BA" w:rsidR="006131F2" w:rsidP="4436B956" w:rsidRDefault="00CD47B4" w14:paraId="79576F97" w14:textId="0A62B399" w14:noSpellErr="1">
      <w:pPr>
        <w:pStyle w:val="ListParagraph"/>
        <w:numPr>
          <w:ilvl w:val="2"/>
          <w:numId w:val="4"/>
        </w:numPr>
        <w:rPr>
          <w:rFonts w:cs="Calibri" w:cstheme="minorAscii"/>
          <w:highlight w:val="yellow"/>
        </w:rPr>
      </w:pPr>
      <w:r w:rsidRPr="4436B956" w:rsidR="00CD47B4">
        <w:rPr>
          <w:rFonts w:cs="Calibri" w:cstheme="minorAscii"/>
          <w:highlight w:val="yellow"/>
        </w:rPr>
        <w:t>De-glycosylated w</w:t>
      </w:r>
      <w:r w:rsidRPr="4436B956" w:rsidR="006131F2">
        <w:rPr>
          <w:rFonts w:cs="Calibri" w:cstheme="minorAscii"/>
          <w:highlight w:val="yellow"/>
        </w:rPr>
        <w:t xml:space="preserve">hole virion </w:t>
      </w:r>
      <w:r w:rsidRPr="4436B956" w:rsidR="00CD47B4">
        <w:rPr>
          <w:rFonts w:cs="Calibri" w:cstheme="minorAscii"/>
          <w:highlight w:val="yellow"/>
        </w:rPr>
        <w:t>preparation and coating</w:t>
      </w:r>
    </w:p>
    <w:p w:rsidRPr="001316BA" w:rsidR="00B146DE" w:rsidP="4436B956" w:rsidRDefault="00B146DE" w14:paraId="6AE7B762" w14:textId="77777777" w14:noSpellErr="1">
      <w:pPr>
        <w:rPr>
          <w:rFonts w:cs="Calibri" w:cstheme="minorAscii"/>
          <w:highlight w:val="yellow"/>
        </w:rPr>
      </w:pPr>
    </w:p>
    <w:p w:rsidRPr="001316BA" w:rsidR="00B146DE" w:rsidP="4436B956" w:rsidRDefault="00B146DE" w14:paraId="1721E1EB" w14:textId="507FA674">
      <w:pPr>
        <w:rPr>
          <w:rFonts w:cs="Calibri" w:cstheme="minorAscii"/>
          <w:highlight w:val="yellow"/>
        </w:rPr>
      </w:pPr>
      <w:r w:rsidRPr="4436B956" w:rsidR="00B146DE">
        <w:rPr>
          <w:rFonts w:cs="Calibri" w:cstheme="minorAscii"/>
          <w:highlight w:val="yellow"/>
        </w:rPr>
        <w:t>De-</w:t>
      </w:r>
      <w:r w:rsidRPr="4436B956" w:rsidR="00B146DE">
        <w:rPr>
          <w:rFonts w:cs="Calibri" w:cstheme="minorAscii"/>
          <w:highlight w:val="yellow"/>
        </w:rPr>
        <w:t>glyc</w:t>
      </w:r>
      <w:r w:rsidRPr="4436B956" w:rsidR="00B146DE">
        <w:rPr>
          <w:rFonts w:cs="Calibri" w:cstheme="minorAscii"/>
          <w:highlight w:val="yellow"/>
        </w:rPr>
        <w:t xml:space="preserve"> kit </w:t>
      </w:r>
      <w:r w:rsidRPr="4436B956" w:rsidR="00B146DE">
        <w:rPr>
          <w:rFonts w:cs="Calibri" w:cstheme="minorAscii"/>
          <w:highlight w:val="yellow"/>
        </w:rPr>
        <w:t>(manufacturer)</w:t>
      </w:r>
    </w:p>
    <w:p w:rsidRPr="001316BA" w:rsidR="00B146DE" w:rsidP="4436B956" w:rsidRDefault="00B146DE" w14:paraId="3FAB5D5A" w14:textId="77777777" w14:noSpellErr="1">
      <w:pPr>
        <w:rPr>
          <w:rFonts w:cs="Calibri" w:cstheme="minorAscii"/>
          <w:highlight w:val="yellow"/>
        </w:rPr>
      </w:pPr>
    </w:p>
    <w:p w:rsidR="00B146DE" w:rsidP="4436B956" w:rsidRDefault="00B146DE" w14:paraId="426088C9" w14:textId="77777777" w14:noSpellErr="1">
      <w:pPr>
        <w:rPr>
          <w:rFonts w:cs="Calibri" w:cstheme="minorAscii"/>
          <w:highlight w:val="yellow"/>
        </w:rPr>
      </w:pPr>
    </w:p>
    <w:p w:rsidRPr="001316BA" w:rsidR="001316BA" w:rsidP="4436B956" w:rsidRDefault="001316BA" w14:paraId="6B09230D" w14:textId="7D2FACBA" w14:noSpellErr="1">
      <w:pPr>
        <w:rPr>
          <w:rFonts w:cs="Calibri" w:cstheme="minorAscii"/>
          <w:highlight w:val="yellow"/>
        </w:rPr>
      </w:pPr>
      <w:r w:rsidRPr="4436B956" w:rsidR="001316BA">
        <w:rPr>
          <w:rFonts w:cs="Calibri" w:cstheme="minorAscii"/>
          <w:highlight w:val="yellow"/>
        </w:rPr>
        <w:t>Additionally, de-glycosylated virions were tested for infectivity [and what happened next???]</w:t>
      </w:r>
    </w:p>
    <w:sectPr w:rsidRPr="001316BA" w:rsidR="001316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L" w:author="Lankina, Anastasia" w:date="2024-02-14T15:31:00Z" w:id="0">
    <w:p w:rsidR="001316BA" w:rsidP="009E1305" w:rsidRDefault="001316BA" w14:paraId="4675B963" w14:textId="77777777">
      <w:r>
        <w:rPr>
          <w:rStyle w:val="CommentReference"/>
        </w:rPr>
        <w:annotationRef/>
      </w:r>
      <w:hyperlink w:history="1" r:id="rId1">
        <w:r w:rsidRPr="009E1305">
          <w:rPr>
            <w:rStyle w:val="Hyperlink"/>
            <w:sz w:val="20"/>
            <w:szCs w:val="20"/>
          </w:rPr>
          <w:t>http://nar.oxfordjournals.org/content/44/W1/W232.full</w:t>
        </w:r>
      </w:hyperlink>
    </w:p>
  </w:comment>
  <w:comment w:initials="AL" w:author="Lankina, Anastasia" w:date="2024-02-14T11:48:00Z" w:id="1">
    <w:p w:rsidR="001316BA" w:rsidP="0030554D" w:rsidRDefault="001316BA" w14:paraId="2EDA8F26" w14:textId="2523274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(Wang, D., et al. (2020) MusiteDeep: a deep-learning based webserver for protein post-translational modification site prediction and visualization, Nucleic Acids Research,Volume 48, Issue W1, 02 July 2020, Pages W140–W146</w:t>
      </w:r>
    </w:p>
    <w:p w:rsidR="001316BA" w:rsidP="0030554D" w:rsidRDefault="001316BA" w14:paraId="11B276A1" w14:textId="77777777">
      <w:r>
        <w:rPr>
          <w:color w:val="000000"/>
          <w:sz w:val="20"/>
          <w:szCs w:val="20"/>
        </w:rPr>
        <w:t> </w:t>
      </w:r>
    </w:p>
    <w:p w:rsidR="001316BA" w:rsidP="0030554D" w:rsidRDefault="001316BA" w14:paraId="067DBF74" w14:textId="77777777">
      <w:r>
        <w:rPr>
          <w:color w:val="000000"/>
          <w:sz w:val="20"/>
          <w:szCs w:val="20"/>
        </w:rPr>
        <w:t>Wang, D., et al. (2019) Capsule network for protein post-translational modification site prediction, Bioinformatics, 35(14), 2386-2394.</w:t>
      </w:r>
    </w:p>
    <w:p w:rsidR="001316BA" w:rsidP="0030554D" w:rsidRDefault="001316BA" w14:paraId="21268B20" w14:textId="77777777">
      <w:r>
        <w:rPr>
          <w:color w:val="000000"/>
          <w:sz w:val="20"/>
          <w:szCs w:val="20"/>
        </w:rPr>
        <w:t> </w:t>
      </w:r>
    </w:p>
    <w:p w:rsidR="001316BA" w:rsidP="0030554D" w:rsidRDefault="001316BA" w14:paraId="5EB41720" w14:textId="77777777">
      <w:r>
        <w:rPr>
          <w:color w:val="000000"/>
          <w:sz w:val="20"/>
          <w:szCs w:val="20"/>
        </w:rPr>
        <w:t>Wang, D., et al. (2017) MusiteDeep: a deep-learning framework for general and kinase-specific phosphorylation site prediction, Bioinformatics, 33(24), 3909-3916.</w:t>
      </w:r>
    </w:p>
    <w:p w:rsidR="001316BA" w:rsidP="0030554D" w:rsidRDefault="001316BA" w14:paraId="770064C6" w14:textId="77777777">
      <w:r>
        <w:rPr>
          <w:color w:val="000000"/>
          <w:sz w:val="20"/>
          <w:szCs w:val="20"/>
        </w:rPr>
        <w:t>server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75B963" w15:done="0"/>
  <w15:commentEx w15:paraId="770064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0C62D47" w16cex:dateUtc="2024-02-14T15:31:00Z"/>
  <w16cex:commentExtensible w16cex:durableId="39FB9267" w16cex:dateUtc="2024-02-14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75B963" w16cid:durableId="40C62D47"/>
  <w16cid:commentId w16cid:paraId="770064C6" w16cid:durableId="39FB92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938"/>
    <w:multiLevelType w:val="hybridMultilevel"/>
    <w:tmpl w:val="A3BC0FD2"/>
    <w:lvl w:ilvl="0" w:tplc="B0B0DE4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6C4E07"/>
    <w:multiLevelType w:val="multilevel"/>
    <w:tmpl w:val="FF6696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3C1C93"/>
    <w:multiLevelType w:val="hybridMultilevel"/>
    <w:tmpl w:val="CBBA4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81172"/>
    <w:multiLevelType w:val="multilevel"/>
    <w:tmpl w:val="E160D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4F02FC"/>
    <w:multiLevelType w:val="multilevel"/>
    <w:tmpl w:val="FF6696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018262">
    <w:abstractNumId w:val="2"/>
  </w:num>
  <w:num w:numId="2" w16cid:durableId="145825725">
    <w:abstractNumId w:val="0"/>
  </w:num>
  <w:num w:numId="3" w16cid:durableId="490489963">
    <w:abstractNumId w:val="3"/>
  </w:num>
  <w:num w:numId="4" w16cid:durableId="427771030">
    <w:abstractNumId w:val="5"/>
  </w:num>
  <w:num w:numId="5" w16cid:durableId="967589722">
    <w:abstractNumId w:val="1"/>
  </w:num>
  <w:num w:numId="6" w16cid:durableId="17519292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nkina, Anastasia">
    <w15:presenceInfo w15:providerId="AD" w15:userId="S::ucbtank@ucl.ac.uk::c7541195-e674-4920-ba5f-6297e02ee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06197D"/>
    <w:rsid w:val="000B2014"/>
    <w:rsid w:val="000B2F08"/>
    <w:rsid w:val="001316BA"/>
    <w:rsid w:val="00153DCB"/>
    <w:rsid w:val="00227DFF"/>
    <w:rsid w:val="00271788"/>
    <w:rsid w:val="002B4D4F"/>
    <w:rsid w:val="00307989"/>
    <w:rsid w:val="00412709"/>
    <w:rsid w:val="004C06FC"/>
    <w:rsid w:val="00515DAE"/>
    <w:rsid w:val="005676BF"/>
    <w:rsid w:val="00581E71"/>
    <w:rsid w:val="005B6C50"/>
    <w:rsid w:val="006131F2"/>
    <w:rsid w:val="00632A91"/>
    <w:rsid w:val="00652A1D"/>
    <w:rsid w:val="00677F5B"/>
    <w:rsid w:val="00717B9C"/>
    <w:rsid w:val="007760C5"/>
    <w:rsid w:val="0078040D"/>
    <w:rsid w:val="007A72B3"/>
    <w:rsid w:val="008A71B4"/>
    <w:rsid w:val="008F5574"/>
    <w:rsid w:val="0090689C"/>
    <w:rsid w:val="00967B71"/>
    <w:rsid w:val="00993B94"/>
    <w:rsid w:val="009D5C92"/>
    <w:rsid w:val="00B11B8A"/>
    <w:rsid w:val="00B146DE"/>
    <w:rsid w:val="00BA5832"/>
    <w:rsid w:val="00C2265B"/>
    <w:rsid w:val="00C24C33"/>
    <w:rsid w:val="00C9378B"/>
    <w:rsid w:val="00CC35C9"/>
    <w:rsid w:val="00CD47B4"/>
    <w:rsid w:val="00D063C2"/>
    <w:rsid w:val="00D5175C"/>
    <w:rsid w:val="00D865AC"/>
    <w:rsid w:val="00E14A89"/>
    <w:rsid w:val="00EF7528"/>
    <w:rsid w:val="00F465A3"/>
    <w:rsid w:val="00F81F28"/>
    <w:rsid w:val="1317D314"/>
    <w:rsid w:val="23E8C137"/>
    <w:rsid w:val="240B84C0"/>
    <w:rsid w:val="24243725"/>
    <w:rsid w:val="2EBE7BFB"/>
    <w:rsid w:val="4436B956"/>
    <w:rsid w:val="5948D549"/>
    <w:rsid w:val="612A9FAF"/>
    <w:rsid w:val="677E4318"/>
    <w:rsid w:val="6837DC03"/>
    <w:rsid w:val="758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6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32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A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1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6B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1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6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31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nar.oxfordjournals.org/content/44/W1/W232.ful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14</revision>
  <dcterms:created xsi:type="dcterms:W3CDTF">2024-02-06T15:43:00.0000000Z</dcterms:created>
  <dcterms:modified xsi:type="dcterms:W3CDTF">2024-04-30T13:28:11.0956671Z</dcterms:modified>
</coreProperties>
</file>