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Руководство по заполнению GPIO Policy Matrix</w:t>
      </w:r>
    </w:p>
    <w:p>
      <w:r>
        <w:t>Документ описывает назначение столбцов таблицы GPIO Policy Matrix и правила её заполнения для проектов на STM32/embedded систем.</w:t>
      </w:r>
    </w:p>
    <w:p>
      <w:pPr>
        <w:pStyle w:val="Heading2"/>
      </w:pPr>
      <w:r>
        <w:t>Pin Number</w:t>
      </w:r>
    </w:p>
    <w:p>
      <w:r>
        <w:t>Физический номер вывода микроконтроллера согласно datasheet/package.</w:t>
      </w:r>
    </w:p>
    <w:p>
      <w:pPr>
        <w:pStyle w:val="Heading2"/>
      </w:pPr>
      <w:r>
        <w:t>Pin Name</w:t>
      </w:r>
    </w:p>
    <w:p>
      <w:r>
        <w:t>Имя GPIO внутри микроконтроллера (например PA0, PB5).</w:t>
      </w:r>
    </w:p>
    <w:p>
      <w:pPr>
        <w:pStyle w:val="Heading2"/>
      </w:pPr>
      <w:r>
        <w:t>Signal Name</w:t>
      </w:r>
    </w:p>
    <w:p>
      <w:r>
        <w:t>Логическое имя сигнала в проекте (например UART_DBG_TX).</w:t>
      </w:r>
    </w:p>
    <w:p>
      <w:pPr>
        <w:pStyle w:val="Heading2"/>
      </w:pPr>
      <w:r>
        <w:t>Peripheral</w:t>
      </w:r>
    </w:p>
    <w:p>
      <w:r>
        <w:t>Периферия микроконтроллера, использующая вывод.</w:t>
      </w:r>
    </w:p>
    <w:p>
      <w:pPr>
        <w:pStyle w:val="Heading2"/>
      </w:pPr>
      <w:r>
        <w:t>Mode</w:t>
      </w:r>
    </w:p>
    <w:p>
      <w:r>
        <w:t>Электрический режим работы GPIO.</w:t>
      </w:r>
    </w:p>
    <w:p>
      <w:pPr>
        <w:pStyle w:val="Heading2"/>
      </w:pPr>
      <w:r>
        <w:t>Direction</w:t>
      </w:r>
    </w:p>
    <w:p>
      <w:r>
        <w:t>Направление сигнала: INPUT / OUTPUT / BIDIR.</w:t>
      </w:r>
    </w:p>
    <w:p>
      <w:pPr>
        <w:pStyle w:val="Heading2"/>
      </w:pPr>
      <w:r>
        <w:t>Wake Source</w:t>
      </w:r>
    </w:p>
    <w:p>
      <w:r>
        <w:t>Может ли GPIO использоваться для пробуждения устройства.</w:t>
      </w:r>
    </w:p>
    <w:p>
      <w:pPr>
        <w:pStyle w:val="Heading2"/>
      </w:pPr>
      <w:r>
        <w:t>Wake Transition</w:t>
      </w:r>
    </w:p>
    <w:p>
      <w:r>
        <w:t>Тип события пробуждения: RISING/FALLING/BOTH.</w:t>
      </w:r>
    </w:p>
    <w:p>
      <w:pPr>
        <w:pStyle w:val="Heading2"/>
      </w:pPr>
      <w:r>
        <w:t>RESET State</w:t>
      </w:r>
    </w:p>
    <w:p>
      <w:r>
        <w:t>Состояние пина после аппаратного reset.</w:t>
      </w:r>
    </w:p>
    <w:p>
      <w:pPr>
        <w:pStyle w:val="Heading2"/>
      </w:pPr>
      <w:r>
        <w:t>PASSIVE State</w:t>
      </w:r>
    </w:p>
    <w:p>
      <w:r>
        <w:t>Состояние GPIO в low-power режиме.</w:t>
      </w:r>
    </w:p>
    <w:p>
      <w:pPr>
        <w:pStyle w:val="Heading2"/>
      </w:pPr>
      <w:r>
        <w:t>WORK State</w:t>
      </w:r>
    </w:p>
    <w:p>
      <w:r>
        <w:t>Рабочее состояние GPIO при нормальной работе.</w:t>
      </w:r>
    </w:p>
    <w:p>
      <w:pPr>
        <w:pStyle w:val="Heading2"/>
      </w:pPr>
      <w:r>
        <w:t>SERVICE State</w:t>
      </w:r>
    </w:p>
    <w:p>
      <w:r>
        <w:t>Состояние GPIO в сервисном или debug режиме.</w:t>
      </w:r>
    </w:p>
    <w:p>
      <w:pPr>
        <w:pStyle w:val="Heading2"/>
      </w:pPr>
      <w:r>
        <w:t>Module Assignable</w:t>
      </w:r>
    </w:p>
    <w:p>
      <w:r>
        <w:t>Можно ли использовать GPIO в модульных конфигурациях.</w:t>
      </w:r>
    </w:p>
    <w:p>
      <w:pPr>
        <w:pStyle w:val="Heading2"/>
      </w:pPr>
      <w:r>
        <w:t>Module Variant</w:t>
      </w:r>
    </w:p>
    <w:p>
      <w:r>
        <w:t>Для каких вариантов устройства используется GPIO.</w:t>
      </w:r>
    </w:p>
    <w:p>
      <w:pPr>
        <w:pStyle w:val="Heading2"/>
      </w:pPr>
      <w:r>
        <w:t>Reserved</w:t>
      </w:r>
    </w:p>
    <w:p>
      <w:r>
        <w:t>Флаг резервирования GPIO.</w:t>
      </w:r>
    </w:p>
    <w:p>
      <w:pPr>
        <w:pStyle w:val="Heading2"/>
      </w:pPr>
      <w:r>
        <w:t>Default State</w:t>
      </w:r>
    </w:p>
    <w:p>
      <w:r>
        <w:t>Состояние GPIO после инициализации firmware.</w:t>
      </w:r>
    </w:p>
    <w:p>
      <w:pPr>
        <w:pStyle w:val="Heading2"/>
      </w:pPr>
      <w:r>
        <w:t>Power Domain</w:t>
      </w:r>
    </w:p>
    <w:p>
      <w:r>
        <w:t>Домен питания, к которому относится GPIO.</w:t>
      </w:r>
    </w:p>
    <w:p>
      <w:pPr>
        <w:pStyle w:val="Heading2"/>
      </w:pPr>
      <w:r>
        <w:t>Notes</w:t>
      </w:r>
    </w:p>
    <w:p>
      <w:r>
        <w:t>Дополнительные инженерные комментарии и ограничения.</w:t>
      </w:r>
    </w:p>
    <w:p>
      <w:pPr>
        <w:pStyle w:val="Heading2"/>
      </w:pPr>
      <w:r>
        <w:t>Рекомендации по заполнению</w:t>
      </w:r>
    </w:p>
    <w:p>
      <w:pPr>
        <w:pStyle w:val="ListBullet"/>
      </w:pPr>
      <w:r>
        <w:t>Каждый GPIO должен занимать отдельную строку.</w:t>
      </w:r>
    </w:p>
    <w:p>
      <w:pPr>
        <w:pStyle w:val="ListBullet"/>
      </w:pPr>
      <w:r>
        <w:t>Не оставлять пустыми критические поля.</w:t>
      </w:r>
    </w:p>
    <w:p>
      <w:pPr>
        <w:pStyle w:val="ListBullet"/>
      </w:pPr>
      <w:r>
        <w:t>Для unused GPIO использовать режим ANALOG.</w:t>
      </w:r>
    </w:p>
    <w:p>
      <w:pPr>
        <w:pStyle w:val="ListBullet"/>
      </w:pPr>
      <w:r>
        <w:t>Избегать floating inputs.</w:t>
      </w:r>
    </w:p>
    <w:p>
      <w:pPr>
        <w:pStyle w:val="ListBullet"/>
      </w:pPr>
      <w:r>
        <w:t>Проверять wakeup GPIO и EXTI конфигурацию.</w:t>
      </w:r>
    </w:p>
    <w:p>
      <w:pPr>
        <w:pStyle w:val="ListBullet"/>
      </w:pPr>
      <w:r>
        <w:t>Согласовывать RESET/PASSIVE состояния с hardware схемой.</w:t>
      </w:r>
    </w:p>
    <w:p>
      <w:pPr>
        <w:pStyle w:val="Heading2"/>
      </w:pPr>
      <w:r>
        <w:t>Пример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Pin Name</w:t>
            </w:r>
          </w:p>
        </w:tc>
        <w:tc>
          <w:tcPr>
            <w:tcW w:type="dxa" w:w="4320"/>
          </w:tcPr>
          <w:p>
            <w:r>
              <w:t>PA2</w:t>
            </w:r>
          </w:p>
        </w:tc>
      </w:tr>
      <w:tr>
        <w:tc>
          <w:tcPr>
            <w:tcW w:type="dxa" w:w="4320"/>
          </w:tcPr>
          <w:p>
            <w:r>
              <w:t>Signal Name</w:t>
            </w:r>
          </w:p>
        </w:tc>
        <w:tc>
          <w:tcPr>
            <w:tcW w:type="dxa" w:w="4320"/>
          </w:tcPr>
          <w:p>
            <w:r>
              <w:t>UART_DBG_TX</w:t>
            </w:r>
          </w:p>
        </w:tc>
      </w:tr>
      <w:tr>
        <w:tc>
          <w:tcPr>
            <w:tcW w:type="dxa" w:w="4320"/>
          </w:tcPr>
          <w:p>
            <w:r>
              <w:t>Peripheral</w:t>
            </w:r>
          </w:p>
        </w:tc>
        <w:tc>
          <w:tcPr>
            <w:tcW w:type="dxa" w:w="4320"/>
          </w:tcPr>
          <w:p>
            <w:r>
              <w:t>USART2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AF_UART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PASSIVE State</w:t>
            </w:r>
          </w:p>
        </w:tc>
        <w:tc>
          <w:tcPr>
            <w:tcW w:type="dxa" w:w="4320"/>
          </w:tcPr>
          <w:p>
            <w:r>
              <w:t>ANALOG</w:t>
            </w:r>
          </w:p>
        </w:tc>
      </w:tr>
      <w:tr>
        <w:tc>
          <w:tcPr>
            <w:tcW w:type="dxa" w:w="4320"/>
          </w:tcPr>
          <w:p>
            <w:r>
              <w:t>WORK State</w:t>
            </w:r>
          </w:p>
        </w:tc>
        <w:tc>
          <w:tcPr>
            <w:tcW w:type="dxa" w:w="4320"/>
          </w:tcPr>
          <w:p>
            <w:r>
              <w:t>AF_UART</w:t>
            </w:r>
          </w:p>
        </w:tc>
      </w:tr>
      <w:tr>
        <w:tc>
          <w:tcPr>
            <w:tcW w:type="dxa" w:w="4320"/>
          </w:tcPr>
          <w:p>
            <w:r>
              <w:t>Power Domain</w:t>
            </w:r>
          </w:p>
        </w:tc>
        <w:tc>
          <w:tcPr>
            <w:tcW w:type="dxa" w:w="4320"/>
          </w:tcPr>
          <w:p>
            <w:r>
              <w:t>VDD_MAIN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