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LTP — LogLSM Transport Protocol v1.0</w:t>
      </w:r>
    </w:p>
    <w:p>
      <w:pPr>
        <w:pStyle w:val="Heading2"/>
      </w:pPr>
      <w:r>
        <w:rPr>
          <w:sz w:val="28"/>
        </w:rPr>
        <w:t>1. Назначение</w:t>
      </w:r>
    </w:p>
    <w:p>
      <w:r>
        <w:t>LTP (LogLSM Transport Protocol) — компактный бинарный транспортный протокол для embedded систем.</w:t>
      </w:r>
    </w:p>
    <w:p>
      <w:pPr>
        <w:pStyle w:val="Heading2"/>
      </w:pPr>
      <w:r>
        <w:rPr>
          <w:sz w:val="28"/>
        </w:rPr>
        <w:t>2. Основные особенности</w:t>
      </w:r>
    </w:p>
    <w:p>
      <w:r>
        <w:t>Бинарный, transport-independent, DMA-friendly, packet-oriented.</w:t>
      </w:r>
    </w:p>
    <w:p>
      <w:pPr>
        <w:pStyle w:val="Heading2"/>
      </w:pPr>
      <w:r>
        <w:rPr>
          <w:sz w:val="28"/>
        </w:rPr>
        <w:t>3. Поддерживаемые транспорты</w:t>
      </w:r>
    </w:p>
    <w:p>
      <w:r>
        <w:t>USB CDC (primary), UART, future CAN FD, BLE.</w:t>
      </w:r>
    </w:p>
    <w:p>
      <w:pPr>
        <w:pStyle w:val="Heading2"/>
      </w:pPr>
      <w:r>
        <w:rPr>
          <w:sz w:val="28"/>
        </w:rPr>
        <w:t>4. Архитектура</w:t>
      </w:r>
    </w:p>
    <w:p>
      <w:r>
        <w:t>Application Services -&gt; LTP Core -&gt; Transport Adapter -&gt; USB/UART/CAN</w:t>
      </w:r>
    </w:p>
    <w:p>
      <w:pPr>
        <w:pStyle w:val="Heading2"/>
      </w:pPr>
      <w:r>
        <w:rPr>
          <w:sz w:val="28"/>
        </w:rPr>
        <w:t>5. Формат пакета</w:t>
      </w:r>
    </w:p>
    <w:p>
      <w:r>
        <w:t>FEND | VER | ADDR | CMD | FLAGS | SEQ16 | LEN16 | DATA | CRC16</w:t>
      </w:r>
    </w:p>
    <w:p>
      <w:pPr>
        <w:pStyle w:val="Heading2"/>
      </w:pPr>
      <w:r>
        <w:rPr>
          <w:sz w:val="28"/>
        </w:rPr>
        <w:t>6. CRC16</w:t>
      </w:r>
    </w:p>
    <w:p>
      <w:r>
        <w:t>CRC16-CCITT, POLY=0x1021, INIT=0xFFFF</w:t>
      </w:r>
    </w:p>
    <w:p>
      <w:pPr>
        <w:pStyle w:val="Heading2"/>
      </w:pPr>
      <w:r>
        <w:rPr>
          <w:sz w:val="28"/>
        </w:rPr>
        <w:t>7. Команды</w:t>
      </w:r>
    </w:p>
    <w:p>
      <w:r>
        <w:t>HELLO, ACK, NACK, LOG_DATA, SENSOR_DATA, STATUS, CONFIG_GET/SET, OTA.</w:t>
      </w:r>
    </w:p>
    <w:p>
      <w:pPr>
        <w:pStyle w:val="Heading2"/>
      </w:pPr>
      <w:r>
        <w:rPr>
          <w:sz w:val="28"/>
        </w:rPr>
        <w:t>8. Parser FSM</w:t>
      </w:r>
    </w:p>
    <w:p>
      <w:r>
        <w:t>WAIT_FEND -&gt; READ_HEADER -&gt; READ_PAYLOAD -&gt; READ_CRC -&gt; VALIDATE -&gt; DISPATCH</w:t>
      </w:r>
    </w:p>
    <w:p>
      <w:pPr>
        <w:pStyle w:val="Heading2"/>
      </w:pPr>
      <w:r>
        <w:rPr>
          <w:sz w:val="28"/>
        </w:rPr>
        <w:t>9. DMA Integration</w:t>
      </w:r>
    </w:p>
    <w:p>
      <w:r>
        <w:t>Circular DMA RX, ring buffer, zero-copy parsing.</w:t>
      </w:r>
    </w:p>
    <w:p>
      <w:pPr>
        <w:pStyle w:val="Heading2"/>
      </w:pPr>
      <w:r>
        <w:rPr>
          <w:sz w:val="28"/>
        </w:rPr>
        <w:t>10. CAN Support</w:t>
      </w:r>
    </w:p>
    <w:p>
      <w:r>
        <w:t>LTP packet remains unchanged and is fragmented by transport adapter.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