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Arial" w:cs="Arial"/>
          <w:b/>
          <w:i w:val="0"/>
          <w:color w:val="2F6B4F"/>
          <w:sz w:val="22"/>
        </w:rPr>
        <w:t>SIGEVA</w:t>
      </w:r>
    </w:p>
    <w:p>
      <w:pPr>
        <w:spacing w:after="80" w:before="0" w:line="276" w:lineRule="auto"/>
      </w:pPr>
      <w:r>
        <w:rPr>
          <w:rFonts w:ascii="Arial" w:hAnsi="Arial" w:eastAsia="Arial" w:cs="Arial"/>
          <w:b w:val="0"/>
          <w:i w:val="0"/>
          <w:color w:val="4A5563"/>
          <w:sz w:val="22"/>
        </w:rPr>
        <w:t>Sistema de Gestión Electoral y Validación de Votos</w:t>
      </w:r>
    </w:p>
    <w:p>
      <w:r>
        <w:rPr>
          <w:rFonts w:ascii="Arial" w:hAnsi="Arial" w:eastAsia="Arial" w:cs="Arial"/>
          <w:b/>
          <w:i w:val="0"/>
          <w:color w:val="1B3A4B"/>
          <w:sz w:val="44"/>
        </w:rPr>
        <w:t>Modelo de datos multi-tenant</w:t>
      </w:r>
    </w:p>
    <w:p>
      <w:pPr>
        <w:spacing w:after="120" w:before="0" w:line="276" w:lineRule="auto"/>
      </w:pPr>
      <w:r>
        <w:rPr>
          <w:rFonts w:ascii="Arial" w:hAnsi="Arial" w:eastAsia="Arial" w:cs="Arial"/>
          <w:b w:val="0"/>
          <w:i w:val="0"/>
          <w:color w:val="4A5563"/>
          <w:sz w:val="22"/>
        </w:rPr>
        <w:t>Documento para el Product Owner. Explica qué se modeló, por qué se agregó cada pieza y por qué este diseño permite que el SENA y otras instituciones usen el mismo producto sin mezclar padrones ni votos.</w:t>
      </w:r>
    </w:p>
    <w:p>
      <w:pPr>
        <w:spacing w:after="160" w:before="0" w:line="276" w:lineRule="auto"/>
      </w:pPr>
      <w:r>
        <w:rPr>
          <w:rFonts w:ascii="Arial" w:hAnsi="Arial" w:eastAsia="Arial" w:cs="Arial"/>
          <w:b w:val="0"/>
          <w:i/>
          <w:color w:val="4A5563"/>
          <w:sz w:val="20"/>
        </w:rPr>
        <w:t>Audiencia: Product Owner  ·  Tipo: análisis (no es código de producción)  ·  Agosto 2026</w:t>
      </w:r>
    </w:p>
    <w:p>
      <w:pPr>
        <w:pStyle w:val="Heading1"/>
        <w:spacing w:before="320" w:after="160"/>
      </w:pPr>
      <w:r>
        <w:rPr>
          <w:rFonts w:ascii="Arial" w:hAnsi="Arial" w:eastAsia="Arial" w:cs="Arial"/>
          <w:b/>
          <w:i w:val="0"/>
          <w:color w:val="1B3A4B"/>
          <w:sz w:val="32"/>
        </w:rPr>
        <w:t>1. Qué se pidió y qué entregamos</w:t>
      </w:r>
    </w:p>
    <w:p>
      <w:pPr>
        <w:spacing w:after="160" w:before="0" w:line="276" w:lineRule="auto"/>
      </w:pPr>
      <w:r>
        <w:rPr>
          <w:rFonts w:ascii="Arial" w:hAnsi="Arial" w:eastAsia="Arial" w:cs="Arial"/>
          <w:b w:val="0"/>
          <w:i w:val="0"/>
          <w:color w:val="1A1A1A"/>
          <w:sz w:val="22"/>
        </w:rPr>
        <w:t>Se pidió modelar lo que faltaba para que SIGEVA deje de ser “la app del SENA” y pase a ser una plataforma: centros de formación, votaciones y candidatos, con aislamiento entre organizaciones.</w:t>
      </w:r>
    </w:p>
    <w:p>
      <w:pPr>
        <w:spacing w:after="160" w:before="0" w:line="276" w:lineRule="auto"/>
      </w:pPr>
      <w:r>
        <w:rPr>
          <w:rFonts w:ascii="Arial" w:hAnsi="Arial" w:eastAsia="Arial" w:cs="Arial"/>
          <w:b w:val="0"/>
          <w:i w:val="0"/>
          <w:color w:val="1A1A1A"/>
          <w:sz w:val="22"/>
        </w:rPr>
        <w:t>Esto no es implementar la urna nueva. Es el mapa de datos para que el producto se pueda aceptar: tablas, dueño de cada fila y reglas que impiden que un colegio vea la elección de otro.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B3A4B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Pedido</w:t>
            </w:r>
          </w:p>
        </w:tc>
        <w:tc>
          <w:tcPr>
            <w:tcW w:type="dxa" w:w="3324"/>
            <w:shd w:fill="1B3A4B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Qué quedó en el modelo</w:t>
            </w:r>
          </w:p>
        </w:tc>
        <w:tc>
          <w:tcPr>
            <w:tcW w:type="dxa" w:w="3324"/>
            <w:shd w:fill="1B3A4B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Qué no se inventó</w:t>
            </w:r>
          </w:p>
        </w:tc>
      </w:tr>
      <w:tr>
        <w:tc>
          <w:tcPr>
            <w:tcW w:type="dxa" w:w="3324"/>
            <w:shd w:fill="F2F4F7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Centros de formación</w:t>
            </w:r>
          </w:p>
        </w:tc>
        <w:tc>
          <w:tcPr>
            <w:tcW w:type="dxa" w:w="3324"/>
            <w:shd w:fill="F2F4F7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Sedes de una organización</w:t>
            </w:r>
          </w:p>
        </w:tc>
        <w:tc>
          <w:tcPr>
            <w:tcW w:type="dxa" w:w="3324"/>
            <w:shd w:fill="F2F4F7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CRUD de regionales como valor de urna</w:t>
            </w:r>
          </w:p>
        </w:tc>
      </w:tr>
      <w:tr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Votaciones</w:t>
            </w:r>
          </w:p>
        </w:tc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Elección con sede, ventana y dueño</w:t>
            </w:r>
          </w:p>
        </w:tc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Segunda vuelta o voto en blanco</w:t>
            </w:r>
          </w:p>
        </w:tc>
      </w:tr>
      <w:tr>
        <w:tc>
          <w:tcPr>
            <w:tcW w:type="dxa" w:w="3324"/>
            <w:shd w:fill="F2F4F7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Candidatos</w:t>
            </w:r>
          </w:p>
        </w:tc>
        <w:tc>
          <w:tcPr>
            <w:tcW w:type="dxa" w:w="3324"/>
            <w:shd w:fill="F2F4F7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Persona del censo + tarjetón único</w:t>
            </w:r>
          </w:p>
        </w:tc>
        <w:tc>
          <w:tcPr>
            <w:tcW w:type="dxa" w:w="3324"/>
            <w:shd w:fill="F2F4F7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Campaña, foros o ranking público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rPr>
          <w:rFonts w:ascii="Arial" w:hAnsi="Arial" w:eastAsia="Arial" w:cs="Arial"/>
          <w:b/>
          <w:i w:val="0"/>
          <w:color w:val="1B3A4B"/>
          <w:sz w:val="32"/>
        </w:rPr>
        <w:t>2. El problema de producto (por qué no alcanza lo de hoy)</w:t>
      </w:r>
    </w:p>
    <w:p>
      <w:pPr>
        <w:spacing w:after="160" w:before="0" w:line="276" w:lineRule="auto"/>
      </w:pPr>
      <w:r>
        <w:rPr>
          <w:rFonts w:ascii="Arial" w:hAnsi="Arial" w:eastAsia="Arial" w:cs="Arial"/>
          <w:b w:val="0"/>
          <w:i w:val="0"/>
          <w:color w:val="1A1A1A"/>
          <w:sz w:val="22"/>
        </w:rPr>
        <w:t>Hoy SIGEVA ya funciona como urna del SENA: el funcionario opera un centro, el aprendiz vota en su sede y jornada, el tarjetón es único por elección y el voto no se debe repetir. Eso es multi-sede. No es multi-tenant.</w:t>
      </w:r>
    </w:p>
    <w:p>
      <w:pPr>
        <w:spacing w:after="160" w:before="0" w:line="276" w:lineRule="auto"/>
      </w:pPr>
      <w:r>
        <w:rPr>
          <w:rFonts w:ascii="Arial" w:hAnsi="Arial" w:eastAsia="Arial" w:cs="Arial"/>
          <w:b w:val="0"/>
          <w:i w:val="0"/>
          <w:color w:val="1A1A1A"/>
          <w:sz w:val="22"/>
        </w:rPr>
        <w:t>El “dueño” implícito es el centro de formación. No hay una organización. Si mañana entra un colegio, su padrón, sus gestores y sus votos vivirían en las mismas tablas, con el riesgo de listar elecciones ajenas o de que un correo “único en todo el planeta” bloquee a dos instituciones distintas.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B3A4B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Hoy (as-is)</w:t>
            </w:r>
          </w:p>
        </w:tc>
        <w:tc>
          <w:tcPr>
            <w:tcW w:type="dxa" w:w="4986"/>
            <w:shd w:fill="1B3A4B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Consecuencia de producto</w:t>
            </w:r>
          </w:p>
        </w:tc>
      </w:tr>
      <w:tr>
        <w:tc>
          <w:tcPr>
            <w:tcW w:type="dxa" w:w="4986"/>
            <w:shd w:fill="F2F4F7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No existe la tabla organización</w:t>
            </w:r>
          </w:p>
        </w:tc>
        <w:tc>
          <w:tcPr>
            <w:tcW w:type="dxa" w:w="4986"/>
            <w:shd w:fill="F2F4F7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No hay cliente dueño de sus datos. Solo hay sedes SENA.</w:t>
            </w:r>
          </w:p>
        </w:tc>
      </w:tr>
      <w:tr>
        <w:tc>
          <w:tcPr>
            <w:tcW w:type="dxa" w:w="4986"/>
            <w:shd w:fill="FFFFFF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El centro es el mundo</w:t>
            </w:r>
          </w:p>
        </w:tc>
        <w:tc>
          <w:tcPr>
            <w:tcW w:type="dxa" w:w="4986"/>
            <w:shd w:fill="FFFFFF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Un colegio no encaja: no tiene “centros SENA” ni regionales.</w:t>
            </w:r>
          </w:p>
        </w:tc>
      </w:tr>
      <w:tr>
        <w:tc>
          <w:tcPr>
            <w:tcW w:type="dxa" w:w="4986"/>
            <w:shd w:fill="F2F4F7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La tabla se llama aprendiz</w:t>
            </w:r>
          </w:p>
        </w:tc>
        <w:tc>
          <w:tcPr>
            <w:tcW w:type="dxa" w:w="4986"/>
            <w:shd w:fill="F2F4F7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Un colegio no tiene aprendices; sí tiene un censo de votantes.</w:t>
            </w:r>
          </w:p>
        </w:tc>
      </w:tr>
      <w:tr>
        <w:tc>
          <w:tcPr>
            <w:tcW w:type="dxa" w:w="4986"/>
            <w:shd w:fill="FFFFFF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El correo es único global</w:t>
            </w:r>
          </w:p>
        </w:tc>
        <w:tc>
          <w:tcPr>
            <w:tcW w:type="dxa" w:w="4986"/>
            <w:shd w:fill="FFFFFF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Dos instituciones no pueden registrar el mismo correo.</w:t>
            </w:r>
          </w:p>
        </w:tc>
      </w:tr>
      <w:tr>
        <w:tc>
          <w:tcPr>
            <w:tcW w:type="dxa" w:w="4986"/>
            <w:shd w:fill="F2F4F7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El voto único vive en el middleware</w:t>
            </w:r>
          </w:p>
        </w:tc>
        <w:tc>
          <w:tcPr>
            <w:tcW w:type="dxa" w:w="4986"/>
            <w:shd w:fill="F2F4F7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La urna no está defendida en la base si alguien se salta la API.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rPr>
          <w:rFonts w:ascii="Arial" w:hAnsi="Arial" w:eastAsia="Arial" w:cs="Arial"/>
          <w:b/>
          <w:i w:val="0"/>
          <w:color w:val="1B3A4B"/>
          <w:sz w:val="32"/>
        </w:rPr>
        <w:t>3. Qué significa multi-tenant aquí</w:t>
      </w:r>
    </w:p>
    <w:p>
      <w:pPr>
        <w:spacing w:after="160" w:before="0" w:line="276" w:lineRule="auto"/>
      </w:pPr>
      <w:r>
        <w:rPr>
          <w:rFonts w:ascii="Arial" w:hAnsi="Arial" w:eastAsia="Arial" w:cs="Arial"/>
          <w:b w:val="0"/>
          <w:i w:val="0"/>
          <w:color w:val="1A1A1A"/>
          <w:sz w:val="22"/>
        </w:rPr>
        <w:t>Multi-tenant = el mismo software, la misma base, muchas organizaciones. Cada una ve solo su censo, sus sedes, sus elecciones, sus candidatos y sus votos.</w:t>
      </w:r>
    </w:p>
    <w:p>
      <w:pPr>
        <w:spacing w:after="160" w:before="0" w:line="276" w:lineRule="auto"/>
      </w:pPr>
      <w:r>
        <w:rPr>
          <w:rFonts w:ascii="Arial" w:hAnsi="Arial" w:eastAsia="Arial" w:cs="Arial"/>
          <w:b w:val="0"/>
          <w:i w:val="0"/>
          <w:color w:val="1A1A1A"/>
          <w:sz w:val="22"/>
        </w:rPr>
        <w:t>No significa una base por cliente. No significa una tabla “aprendiz”, otra “estudiante” y otra “empleado”. Eso duplica el producto y rompe la urna: el motor electoral (censo → convocatoria → tarjetón → voto único → acta) es el mismo para todos.</w:t>
      </w:r>
    </w:p>
    <w:p>
      <w:pPr>
        <w:spacing w:after="80" w:before="0" w:line="276" w:lineRule="auto"/>
      </w:pPr>
      <w:r>
        <w:rPr>
          <w:rFonts w:ascii="Arial" w:hAnsi="Arial" w:eastAsia="Arial" w:cs="Arial"/>
          <w:b/>
          <w:i w:val="0"/>
          <w:color w:val="1B3A4B"/>
          <w:sz w:val="24"/>
        </w:rPr>
        <w:t>La decisión de diseño</w:t>
      </w:r>
    </w:p>
    <w:p>
      <w:pPr>
        <w:spacing w:after="160" w:before="0" w:line="276" w:lineRule="auto"/>
      </w:pPr>
      <w:r>
        <w:rPr>
          <w:rFonts w:ascii="Arial" w:hAnsi="Arial" w:eastAsia="Arial" w:cs="Arial"/>
          <w:b w:val="0"/>
          <w:i w:val="0"/>
          <w:color w:val="1A1A1A"/>
          <w:sz w:val="22"/>
        </w:rPr>
        <w:t>Una base, un esquema, una columna de dueño (organización) en todo lo electoral. El SENA es el primer cliente: una organización con muchos centros. Un colegio es otra organización, con una o varias sedes. El código de la urna no se copia.</w:t>
      </w:r>
    </w:p>
    <w:p>
      <w:pPr>
        <w:spacing w:after="160" w:before="0" w:line="276" w:lineRule="auto"/>
      </w:pPr>
      <w:r>
        <w:rPr>
          <w:rFonts w:ascii="Arial" w:hAnsi="Arial" w:eastAsia="Arial" w:cs="Arial"/>
          <w:b w:val="0"/>
          <w:i w:val="0"/>
          <w:color w:val="1A1A1A"/>
          <w:sz w:val="22"/>
        </w:rPr>
        <w:t>Esa columna no la elige el usuario en un formulario. Sale de la sesión del gestor o del censo del votante. Si alguien manda el id de otra institución, el sistema lo ignora.</w:t>
      </w:r>
    </w:p>
    <w:p>
      <w:pPr>
        <w:pStyle w:val="Heading1"/>
        <w:spacing w:before="320" w:after="160"/>
      </w:pPr>
      <w:r>
        <w:rPr>
          <w:rFonts w:ascii="Arial" w:hAnsi="Arial" w:eastAsia="Arial" w:cs="Arial"/>
          <w:b/>
          <w:i w:val="0"/>
          <w:color w:val="1B3A4B"/>
          <w:sz w:val="32"/>
        </w:rPr>
        <w:t>4. Por qué es un buen modelado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B3A4B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Criterio</w:t>
            </w:r>
          </w:p>
        </w:tc>
        <w:tc>
          <w:tcPr>
            <w:tcW w:type="dxa" w:w="4986"/>
            <w:shd w:fill="1B3A4B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Cómo se cumple</w:t>
            </w:r>
          </w:p>
        </w:tc>
      </w:tr>
      <w:tr>
        <w:tc>
          <w:tcPr>
            <w:tcW w:type="dxa" w:w="4986"/>
            <w:shd w:fill="F2F4F7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Un dueño claro</w:t>
            </w:r>
          </w:p>
        </w:tc>
        <w:tc>
          <w:tcPr>
            <w:tcW w:type="dxa" w:w="4986"/>
            <w:shd w:fill="F2F4F7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Toda fila electoral sabe a qué organización pertenece.</w:t>
            </w:r>
          </w:p>
        </w:tc>
      </w:tr>
      <w:tr>
        <w:tc>
          <w:tcPr>
            <w:tcW w:type="dxa" w:w="4986"/>
            <w:shd w:fill="FFFFFF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El SENA no se tira</w:t>
            </w:r>
          </w:p>
        </w:tc>
        <w:tc>
          <w:tcPr>
            <w:tcW w:type="dxa" w:w="4986"/>
            <w:shd w:fill="FFFFFF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Regional, ficha y jornada quedan como extras del primer tenant, no como el núcleo.</w:t>
            </w:r>
          </w:p>
        </w:tc>
      </w:tr>
      <w:tr>
        <w:tc>
          <w:tcPr>
            <w:tcW w:type="dxa" w:w="4986"/>
            <w:shd w:fill="F2F4F7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Otros clientes caben</w:t>
            </w:r>
          </w:p>
        </w:tc>
        <w:tc>
          <w:tcPr>
            <w:tcW w:type="dxa" w:w="4986"/>
            <w:shd w:fill="F2F4F7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Sede + votante + elección + candidato + voto sirven a un colegio sin tablas nuevas.</w:t>
            </w:r>
          </w:p>
        </w:tc>
      </w:tr>
      <w:tr>
        <w:tc>
          <w:tcPr>
            <w:tcW w:type="dxa" w:w="4986"/>
            <w:shd w:fill="FFFFFF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La urna no se diluye</w:t>
            </w:r>
          </w:p>
        </w:tc>
        <w:tc>
          <w:tcPr>
            <w:tcW w:type="dxa" w:w="4986"/>
            <w:shd w:fill="FFFFFF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Un votante, una elección, un voto; OTP no es el voto; la ventana sigue siendo oficial.</w:t>
            </w:r>
          </w:p>
        </w:tc>
      </w:tr>
      <w:tr>
        <w:tc>
          <w:tcPr>
            <w:tcW w:type="dxa" w:w="4986"/>
            <w:shd w:fill="F2F4F7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Escala sin copiar código</w:t>
            </w:r>
          </w:p>
        </w:tc>
        <w:tc>
          <w:tcPr>
            <w:tcW w:type="dxa" w:w="4986"/>
            <w:shd w:fill="F2F4F7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Alta de una organización nueva, no un deploy nuevo por cliente.</w:t>
            </w:r>
          </w:p>
        </w:tc>
      </w:tr>
      <w:tr>
        <w:tc>
          <w:tcPr>
            <w:tcW w:type="dxa" w:w="4986"/>
            <w:shd w:fill="FFFFFF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Se puede defender</w:t>
            </w:r>
          </w:p>
        </w:tc>
        <w:tc>
          <w:tcPr>
            <w:tcW w:type="dxa" w:w="4986"/>
            <w:shd w:fill="FFFFFF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Unicidades en base (tarjetón, un voto) además de las reglas de negocio.</w:t>
            </w:r>
          </w:p>
        </w:tc>
      </w:tr>
    </w:tbl>
    <w:p>
      <w:pPr>
        <w:spacing w:after="120"/>
      </w:pPr>
    </w:p>
    <w:p>
      <w:pPr>
        <w:spacing w:after="160" w:before="0" w:line="276" w:lineRule="auto"/>
      </w:pPr>
      <w:r>
        <w:rPr>
          <w:rFonts w:ascii="Arial" w:hAnsi="Arial" w:eastAsia="Arial" w:cs="Arial"/>
          <w:b w:val="0"/>
          <w:i/>
          <w:color w:val="4A5563"/>
          <w:sz w:val="22"/>
        </w:rPr>
        <w:t>Si el modelo fuera “una app por institución”, SIGEVA volvería a ser un desarrollo a medida. Si el modelo fuera “el centro es el tenant”, un colegio de una sola sede y el SENA nacional no caben en la misma idea de producto.</w:t>
      </w:r>
    </w:p>
    <w:p>
      <w:pPr>
        <w:pStyle w:val="Heading1"/>
        <w:spacing w:before="320" w:after="160"/>
      </w:pPr>
      <w:r>
        <w:rPr>
          <w:rFonts w:ascii="Arial" w:hAnsi="Arial" w:eastAsia="Arial" w:cs="Arial"/>
          <w:b/>
          <w:i w:val="0"/>
          <w:color w:val="1B3A4B"/>
          <w:sz w:val="32"/>
        </w:rPr>
        <w:t>5. Cómo se traduce el lenguaje SENA</w:t>
      </w:r>
    </w:p>
    <w:p>
      <w:pPr>
        <w:spacing w:after="160" w:before="0" w:line="276" w:lineRule="auto"/>
      </w:pPr>
      <w:r>
        <w:rPr>
          <w:rFonts w:ascii="Arial" w:hAnsi="Arial" w:eastAsia="Arial" w:cs="Arial"/>
          <w:b w:val="0"/>
          <w:i w:val="0"/>
          <w:color w:val="1A1A1A"/>
          <w:sz w:val="22"/>
        </w:rPr>
        <w:t>En pantalla, el SENA puede seguir diciendo aprendiz, funcionario y centro. En el modelo de plataforma esas cosas tienen nombre genérico, para no soldar el producto a un solo cliente.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B3A4B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En el SENA (hoy)</w:t>
            </w:r>
          </w:p>
        </w:tc>
        <w:tc>
          <w:tcPr>
            <w:tcW w:type="dxa" w:w="3324"/>
            <w:shd w:fill="1B3A4B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En la plataforma (to-be)</w:t>
            </w:r>
          </w:p>
        </w:tc>
        <w:tc>
          <w:tcPr>
            <w:tcW w:type="dxa" w:w="3324"/>
            <w:shd w:fill="1B3A4B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Por qué se traduce</w:t>
            </w:r>
          </w:p>
        </w:tc>
      </w:tr>
      <w:tr>
        <w:tc>
          <w:tcPr>
            <w:tcW w:type="dxa" w:w="3324"/>
            <w:shd w:fill="F2F4F7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El mundo es el SENA</w:t>
            </w:r>
          </w:p>
        </w:tc>
        <w:tc>
          <w:tcPr>
            <w:tcW w:type="dxa" w:w="3324"/>
            <w:shd w:fill="F2F4F7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Organización (tenant)</w:t>
            </w:r>
          </w:p>
        </w:tc>
        <w:tc>
          <w:tcPr>
            <w:tcW w:type="dxa" w:w="3324"/>
            <w:shd w:fill="F2F4F7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Sin esta fila no hay segundo cliente.</w:t>
            </w:r>
          </w:p>
        </w:tc>
      </w:tr>
      <w:tr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Centro de formación</w:t>
            </w:r>
          </w:p>
        </w:tc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Sede / circunscripción</w:t>
            </w:r>
          </w:p>
        </w:tc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Un colegio tiene sedes, no la red SENA.</w:t>
            </w:r>
          </w:p>
        </w:tc>
      </w:tr>
      <w:tr>
        <w:tc>
          <w:tcPr>
            <w:tcW w:type="dxa" w:w="3324"/>
            <w:shd w:fill="F2F4F7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Aprendiz</w:t>
            </w:r>
          </w:p>
        </w:tc>
        <w:tc>
          <w:tcPr>
            <w:tcW w:type="dxa" w:w="3324"/>
            <w:shd w:fill="F2F4F7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Votante del censo</w:t>
            </w:r>
          </w:p>
        </w:tc>
        <w:tc>
          <w:tcPr>
            <w:tcW w:type="dxa" w:w="3324"/>
            <w:shd w:fill="F2F4F7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Todos necesitan padrón; no todos forman aprendices.</w:t>
            </w:r>
          </w:p>
        </w:tc>
      </w:tr>
      <w:tr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Funcionario</w:t>
            </w:r>
          </w:p>
        </w:tc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Gestor de una sede</w:t>
            </w:r>
          </w:p>
        </w:tc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Es el jurado digital de una urna, no de la red.</w:t>
            </w:r>
          </w:p>
        </w:tc>
      </w:tr>
      <w:tr>
        <w:tc>
          <w:tcPr>
            <w:tcW w:type="dxa" w:w="3324"/>
            <w:shd w:fill="F2F4F7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Administrador único</w:t>
            </w:r>
          </w:p>
        </w:tc>
        <w:tc>
          <w:tcPr>
            <w:tcW w:type="dxa" w:w="3324"/>
            <w:shd w:fill="F2F4F7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Admin del tenant + operador de plataforma</w:t>
            </w:r>
          </w:p>
        </w:tc>
        <w:tc>
          <w:tcPr>
            <w:tcW w:type="dxa" w:w="3324"/>
            <w:shd w:fill="F2F4F7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Quien gobierna un cliente no es quien da de alta clientes.</w:t>
            </w:r>
          </w:p>
        </w:tc>
      </w:tr>
      <w:tr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Jornada Mañana / Tarde / Noche</w:t>
            </w:r>
          </w:p>
        </w:tc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Filtro opcional de circunscripción</w:t>
            </w:r>
          </w:p>
        </w:tc>
        <w:tc>
          <w:tcPr>
            <w:tcW w:type="dxa" w:w="3324"/>
            <w:shd w:fill="FFFFFF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Obligatoria en SENA; un colegio puede no usarla.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rPr>
          <w:rFonts w:ascii="Arial" w:hAnsi="Arial" w:eastAsia="Arial" w:cs="Arial"/>
          <w:b/>
          <w:i w:val="0"/>
          <w:color w:val="1B3A4B"/>
          <w:sz w:val="32"/>
        </w:rPr>
        <w:t>6. Cada pieza: qué es, por qué existe, por qué así</w:t>
      </w:r>
    </w:p>
    <w:p>
      <w:pPr>
        <w:spacing w:after="80" w:before="0" w:line="276" w:lineRule="auto"/>
      </w:pPr>
      <w:r>
        <w:rPr>
          <w:rFonts w:ascii="Arial" w:hAnsi="Arial" w:eastAsia="Arial" w:cs="Arial"/>
          <w:b/>
          <w:i w:val="0"/>
          <w:color w:val="1B3A4B"/>
          <w:sz w:val="26"/>
        </w:rPr>
        <w:t>6.1 Organización (tabla nueva)</w:t>
      </w:r>
    </w:p>
    <w:p>
      <w:pPr>
        <w:spacing w:after="160" w:before="0" w:line="276" w:lineRule="auto"/>
      </w:pPr>
      <w:r>
        <w:rPr>
          <w:rFonts w:ascii="Arial" w:hAnsi="Arial" w:eastAsia="Arial" w:cs="Arial"/>
          <w:b w:val="0"/>
          <w:i w:val="0"/>
          <w:color w:val="1A1A1A"/>
          <w:sz w:val="22"/>
        </w:rPr>
        <w:t>Es el tenant: el cliente dueño de los datos. SENA, un colegio, una universidad. Sin esta tabla el sistema no sabe de quién es un padrón. Se agregó porque era el hueco: hoy el centro hace de mundo y eso no escala a otro tipo de institución.</w:t>
      </w:r>
    </w:p>
    <w:p>
      <w:pPr>
        <w:spacing w:after="160" w:before="0" w:line="276" w:lineRule="auto"/>
      </w:pPr>
      <w:r>
        <w:rPr>
          <w:rFonts w:ascii="Arial" w:hAnsi="Arial" w:eastAsia="Arial" w:cs="Arial"/>
          <w:b w:val="0"/>
          <w:i w:val="0"/>
          <w:color w:val="1A1A1A"/>
          <w:sz w:val="22"/>
        </w:rPr>
        <w:t>Por qué así: un registro por cliente, con nombre, identificador estable (slug) y estado. Si está suspendida, nadie de esa organización entra a urna ni a gestión. El primer registro es el SENA; los centros que ya existen se cuelgan de ese id.</w:t>
      </w:r>
    </w:p>
    <w:p>
      <w:pPr>
        <w:spacing w:after="80" w:before="0" w:line="276" w:lineRule="auto"/>
      </w:pPr>
      <w:r>
        <w:rPr>
          <w:rFonts w:ascii="Arial" w:hAnsi="Arial" w:eastAsia="Arial" w:cs="Arial"/>
          <w:b/>
          <w:i w:val="0"/>
          <w:color w:val="1B3A4B"/>
          <w:sz w:val="26"/>
        </w:rPr>
        <w:t>6.2 Centro de formación / sede (tabla que ya existía, con dueño)</w:t>
      </w:r>
    </w:p>
    <w:p>
      <w:pPr>
        <w:spacing w:after="160" w:before="0" w:line="276" w:lineRule="auto"/>
      </w:pPr>
      <w:r>
        <w:rPr>
          <w:rFonts w:ascii="Arial" w:hAnsi="Arial" w:eastAsia="Arial" w:cs="Arial"/>
          <w:b w:val="0"/>
          <w:i w:val="0"/>
          <w:color w:val="1A1A1A"/>
          <w:sz w:val="22"/>
        </w:rPr>
        <w:t>Sigue siendo la circunscripción: ahí vive el censo, el gestor y la urna. No se eliminó porque el SENA la necesita y un colegio también tiene al menos una sede. Lo que cambió es el significado: deja de ser el tenant y pasa a ser una sede de la organización.</w:t>
      </w:r>
    </w:p>
    <w:p>
      <w:pPr>
        <w:spacing w:after="160" w:before="0" w:line="276" w:lineRule="auto"/>
      </w:pPr>
      <w:r>
        <w:rPr>
          <w:rFonts w:ascii="Arial" w:hAnsi="Arial" w:eastAsia="Arial" w:cs="Arial"/>
          <w:b w:val="0"/>
          <w:i w:val="0"/>
          <w:color w:val="1A1A1A"/>
          <w:sz w:val="22"/>
        </w:rPr>
        <w:t>Por qué así: lleva el id de la organización. La regional SENA queda opcional (un colegio no la usa). El código de sede es único dentro del cliente, no en todo el planeta: dos instituciones pueden tener una sede “01”. El funcionario no elige otra sede; la sesión trae la suya.</w:t>
      </w:r>
    </w:p>
    <w:p>
      <w:pPr>
        <w:spacing w:after="80" w:before="0" w:line="276" w:lineRule="auto"/>
      </w:pPr>
      <w:r>
        <w:rPr>
          <w:rFonts w:ascii="Arial" w:hAnsi="Arial" w:eastAsia="Arial" w:cs="Arial"/>
          <w:b/>
          <w:i w:val="0"/>
          <w:color w:val="1B3A4B"/>
          <w:sz w:val="26"/>
        </w:rPr>
        <w:t>6.3 Votante — censo (hoy se llama aprendiz en el código)</w:t>
      </w:r>
    </w:p>
    <w:p>
      <w:pPr>
        <w:spacing w:after="160" w:before="0" w:line="276" w:lineRule="auto"/>
      </w:pPr>
      <w:r>
        <w:rPr>
          <w:rFonts w:ascii="Arial" w:hAnsi="Arial" w:eastAsia="Arial" w:cs="Arial"/>
          <w:b w:val="0"/>
          <w:i w:val="0"/>
          <w:color w:val="1A1A1A"/>
          <w:sz w:val="22"/>
        </w:rPr>
        <w:t>Es el padrón. Toda elección institucional necesita personas identificables: documento, correo, sede, estado. En el SENA esa persona es el aprendiz. En un colegio, el estudiante. En una empresa, el colaborador.</w:t>
      </w:r>
    </w:p>
    <w:p>
      <w:pPr>
        <w:spacing w:after="160" w:before="0" w:line="276" w:lineRule="auto"/>
      </w:pPr>
      <w:r>
        <w:rPr>
          <w:rFonts w:ascii="Arial" w:hAnsi="Arial" w:eastAsia="Arial" w:cs="Arial"/>
          <w:b w:val="0"/>
          <w:i w:val="0"/>
          <w:color w:val="1A1A1A"/>
          <w:sz w:val="22"/>
        </w:rPr>
        <w:t>Por qué no se borra ni se parte en tres tablas: el motor de la urna es el mismo. Si hubiera aprendiz + estudiante + empleado, cada historia de voto se triplicaría y el acta se volvería inmantenible. Una sola tabla de censo, con id de organización. Ficha, programa y jornada son campos opcionales del SENA; en otro cliente van vacíos.</w:t>
      </w:r>
    </w:p>
    <w:p>
      <w:pPr>
        <w:spacing w:after="160" w:before="0" w:line="276" w:lineRule="auto"/>
      </w:pPr>
      <w:r>
        <w:rPr>
          <w:rFonts w:ascii="Arial" w:hAnsi="Arial" w:eastAsia="Arial" w:cs="Arial"/>
          <w:b w:val="0"/>
          <w:i w:val="0"/>
          <w:color w:val="1A1A1A"/>
          <w:sz w:val="22"/>
        </w:rPr>
        <w:t>El correo y el documento pasan a ser únicos por organización, no globales. Dos clientes pueden tener un “ana@correo.com” sin chocar.</w:t>
      </w:r>
    </w:p>
    <w:p>
      <w:pPr>
        <w:spacing w:after="80" w:before="0" w:line="276" w:lineRule="auto"/>
      </w:pPr>
      <w:r>
        <w:rPr>
          <w:rFonts w:ascii="Arial" w:hAnsi="Arial" w:eastAsia="Arial" w:cs="Arial"/>
          <w:b/>
          <w:i w:val="0"/>
          <w:color w:val="1B3A4B"/>
          <w:sz w:val="26"/>
        </w:rPr>
        <w:t>6.4 Grupo / ficha (se conserva, no es el núcleo)</w:t>
      </w:r>
    </w:p>
    <w:p>
      <w:pPr>
        <w:spacing w:after="160" w:before="0" w:line="276" w:lineRule="auto"/>
      </w:pPr>
      <w:r>
        <w:rPr>
          <w:rFonts w:ascii="Arial" w:hAnsi="Arial" w:eastAsia="Arial" w:cs="Arial"/>
          <w:b w:val="0"/>
          <w:i w:val="0"/>
          <w:color w:val="1A1A1A"/>
          <w:sz w:val="22"/>
        </w:rPr>
        <w:t>En el SENA la ficha y la jornada (Mañana, Tarde, Noche) definen quién puede entrar a qué urna. Un colegio puede no tener fichas. Por eso el grupo queda como dimensión SENA, no como requisito de la plataforma. El votante puede no traer grupo; el SENA sí lo usa.</w:t>
      </w:r>
    </w:p>
    <w:p>
      <w:pPr>
        <w:spacing w:after="80" w:before="0" w:line="276" w:lineRule="auto"/>
      </w:pPr>
      <w:r>
        <w:rPr>
          <w:rFonts w:ascii="Arial" w:hAnsi="Arial" w:eastAsia="Arial" w:cs="Arial"/>
          <w:b/>
          <w:i w:val="0"/>
          <w:color w:val="1B3A4B"/>
          <w:sz w:val="26"/>
        </w:rPr>
        <w:t>6.5 Usuarios / gestor (tabla que ya existía, con dueño)</w:t>
      </w:r>
    </w:p>
    <w:p>
      <w:pPr>
        <w:spacing w:after="160" w:before="0" w:line="276" w:lineRule="auto"/>
      </w:pPr>
      <w:r>
        <w:rPr>
          <w:rFonts w:ascii="Arial" w:hAnsi="Arial" w:eastAsia="Arial" w:cs="Arial"/>
          <w:b w:val="0"/>
          <w:i w:val="0"/>
          <w:color w:val="1A1A1A"/>
          <w:sz w:val="22"/>
        </w:rPr>
        <w:t>Es quien arma el padrón, abre la elección, inscribe candidatos y baja el acta. Se conservó porque esa operación ya existe. Se le agrega organización y se mantiene el centro: el gestor de una sede no opera la red ni la urna de al lado. El administrador del tenant ve las sedes de su institución, no las de otra.</w:t>
      </w:r>
    </w:p>
    <w:p>
      <w:pPr>
        <w:spacing w:after="80" w:before="0" w:line="276" w:lineRule="auto"/>
      </w:pPr>
      <w:r>
        <w:rPr>
          <w:rFonts w:ascii="Arial" w:hAnsi="Arial" w:eastAsia="Arial" w:cs="Arial"/>
          <w:b/>
          <w:i w:val="0"/>
          <w:color w:val="1B3A4B"/>
          <w:sz w:val="26"/>
        </w:rPr>
        <w:t>6.6 Elecciones / votaciones (tabla que ya existía, con dueño)</w:t>
      </w:r>
    </w:p>
    <w:p>
      <w:pPr>
        <w:spacing w:after="160" w:before="0" w:line="276" w:lineRule="auto"/>
      </w:pPr>
      <w:r>
        <w:rPr>
          <w:rFonts w:ascii="Arial" w:hAnsi="Arial" w:eastAsia="Arial" w:cs="Arial"/>
          <w:b w:val="0"/>
          <w:i w:val="0"/>
          <w:color w:val="1A1A1A"/>
          <w:sz w:val="22"/>
        </w:rPr>
        <w:t>Es la convocatoria oficial: nombre, sede, ventana de fecha y hora, jornada cuando aplica. Se conservó porque ya es el corazón de SIGEVA. Se le pone organización copiada de la sede, para no filtrar “todas las activas del país”.</w:t>
      </w:r>
    </w:p>
    <w:p>
      <w:pPr>
        <w:spacing w:after="160" w:before="0" w:line="276" w:lineRule="auto"/>
      </w:pPr>
      <w:r>
        <w:rPr>
          <w:rFonts w:ascii="Arial" w:hAnsi="Arial" w:eastAsia="Arial" w:cs="Arial"/>
          <w:b w:val="0"/>
          <w:i w:val="0"/>
          <w:color w:val="1A1A1A"/>
          <w:sz w:val="22"/>
        </w:rPr>
        <w:t>Por qué no hay un campo “activa”: la urna existe solo si ahora está dentro de la ventana. Guardar un sí/no se desincroniza con el reloj. El aprendiz (votante) solo lista las de su sede, su jornada y ese momento. El gestor lista el inventario de su sede, incluidas las cerradas, para el acta.</w:t>
      </w:r>
    </w:p>
    <w:p>
      <w:pPr>
        <w:spacing w:after="80" w:before="0" w:line="276" w:lineRule="auto"/>
      </w:pPr>
      <w:r>
        <w:rPr>
          <w:rFonts w:ascii="Arial" w:hAnsi="Arial" w:eastAsia="Arial" w:cs="Arial"/>
          <w:b/>
          <w:i w:val="0"/>
          <w:color w:val="1B3A4B"/>
          <w:sz w:val="26"/>
        </w:rPr>
        <w:t>6.7 Candidatos (tabla que ya existía, con dueño)</w:t>
      </w:r>
    </w:p>
    <w:p>
      <w:pPr>
        <w:spacing w:after="160" w:before="0" w:line="276" w:lineRule="auto"/>
      </w:pPr>
      <w:r>
        <w:rPr>
          <w:rFonts w:ascii="Arial" w:hAnsi="Arial" w:eastAsia="Arial" w:cs="Arial"/>
          <w:b w:val="0"/>
          <w:i w:val="0"/>
          <w:color w:val="1A1A1A"/>
          <w:sz w:val="22"/>
        </w:rPr>
        <w:t>No es un nombre suelto. Es una persona del censo de esa organización, inscrita en una elección, con foto, propuesta y número de tarjetón. Se conservó porque el tarjetón ya es el producto. Se exige que el votante sea de la misma sede que la elección.</w:t>
      </w:r>
    </w:p>
    <w:p>
      <w:pPr>
        <w:spacing w:after="160" w:before="0" w:line="276" w:lineRule="auto"/>
      </w:pPr>
      <w:r>
        <w:rPr>
          <w:rFonts w:ascii="Arial" w:hAnsi="Arial" w:eastAsia="Arial" w:cs="Arial"/>
          <w:b w:val="0"/>
          <w:i w:val="0"/>
          <w:color w:val="1A1A1A"/>
          <w:sz w:val="22"/>
        </w:rPr>
        <w:t>Por qué las unicidades: no puede haber dos “03” en la misma urna, y una persona no se inscribe dos veces en la misma contienda. Eso ya lo pide el producto; el modelo lo deja escrito en la base.</w:t>
      </w:r>
    </w:p>
    <w:p>
      <w:pPr>
        <w:spacing w:after="80" w:before="0" w:line="276" w:lineRule="auto"/>
      </w:pPr>
      <w:r>
        <w:rPr>
          <w:rFonts w:ascii="Arial" w:hAnsi="Arial" w:eastAsia="Arial" w:cs="Arial"/>
          <w:b/>
          <w:i w:val="0"/>
          <w:color w:val="1B3A4B"/>
          <w:sz w:val="26"/>
        </w:rPr>
        <w:t>6.8 Validación de voto / OTP (se limpia, no se inventa otro factor)</w:t>
      </w:r>
    </w:p>
    <w:p>
      <w:pPr>
        <w:spacing w:after="160" w:before="0" w:line="276" w:lineRule="auto"/>
      </w:pPr>
      <w:r>
        <w:rPr>
          <w:rFonts w:ascii="Arial" w:hAnsi="Arial" w:eastAsia="Arial" w:cs="Arial"/>
          <w:b w:val="0"/>
          <w:i w:val="0"/>
          <w:color w:val="1A1A1A"/>
          <w:sz w:val="22"/>
        </w:rPr>
        <w:t>Prueba que el votante tiene el correo del censo. Validar el código no registra el voto: son dos actos. Hoy el estado va mezclado en el código (prefijos USED_ / VOTED_). El modelo to-be separa el secreto (6 caracteres) del estado (generado, usado, votado) y le pone organización. No se agregó biometría ni un segundo producto de identidad.</w:t>
      </w:r>
    </w:p>
    <w:p>
      <w:pPr>
        <w:spacing w:after="80" w:before="0" w:line="276" w:lineRule="auto"/>
      </w:pPr>
      <w:r>
        <w:rPr>
          <w:rFonts w:ascii="Arial" w:hAnsi="Arial" w:eastAsia="Arial" w:cs="Arial"/>
          <w:b/>
          <w:i w:val="0"/>
          <w:color w:val="1B3A4B"/>
          <w:sz w:val="26"/>
        </w:rPr>
        <w:t>6.9 Voto (tabla que ya existía, reforzada)</w:t>
      </w:r>
    </w:p>
    <w:p>
      <w:pPr>
        <w:spacing w:after="160" w:before="0" w:line="276" w:lineRule="auto"/>
      </w:pPr>
      <w:r>
        <w:rPr>
          <w:rFonts w:ascii="Arial" w:hAnsi="Arial" w:eastAsia="Arial" w:cs="Arial"/>
          <w:b w:val="0"/>
          <w:i w:val="0"/>
          <w:color w:val="1A1A1A"/>
          <w:sz w:val="22"/>
        </w:rPr>
        <w:t>Un sufragio: una persona, una elección, un candidato. Hoy la unicidad vive sobre todo en el middleware. El modelo pide además la unicidad en base (persona + elección) y el id de organización y de elección en la misma fila, para que el acta se reconstruya sin ambigüedad y nadie vote dos veces aunque se salte una capa.</w:t>
      </w:r>
    </w:p>
    <w:p>
      <w:pPr>
        <w:pStyle w:val="Heading1"/>
        <w:spacing w:before="320" w:after="160"/>
      </w:pPr>
      <w:r>
        <w:rPr>
          <w:rFonts w:ascii="Arial" w:hAnsi="Arial" w:eastAsia="Arial" w:cs="Arial"/>
          <w:b/>
          <w:i w:val="0"/>
          <w:color w:val="1B3A4B"/>
          <w:sz w:val="32"/>
        </w:rPr>
        <w:t>7. Cómo se aísla de verdad (regla para aceptar el modelo)</w:t>
      </w:r>
    </w:p>
    <w:p>
      <w:pPr>
        <w:spacing w:after="160" w:before="0" w:line="276" w:lineRule="auto"/>
      </w:pPr>
      <w:r>
        <w:rPr>
          <w:rFonts w:ascii="Arial" w:hAnsi="Arial" w:eastAsia="Arial" w:cs="Arial"/>
          <w:b w:val="0"/>
          <w:i w:val="0"/>
          <w:color w:val="1A1A1A"/>
          <w:sz w:val="22"/>
        </w:rPr>
        <w:t>Toda tabla electoral lleva la organización. Al guardar una fila tienen que cumplirse, en cadena: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B3A4B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4986"/>
            <w:shd w:fill="1B3A4B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Regla</w:t>
            </w:r>
          </w:p>
        </w:tc>
      </w:tr>
      <w:tr>
        <w:tc>
          <w:tcPr>
            <w:tcW w:type="dxa" w:w="4986"/>
            <w:shd w:fill="F2F4F7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4986"/>
            <w:shd w:fill="F2F4F7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La sede pertenece a la organización de la sesión.</w:t>
            </w:r>
          </w:p>
        </w:tc>
      </w:tr>
      <w:tr>
        <w:tc>
          <w:tcPr>
            <w:tcW w:type="dxa" w:w="4986"/>
            <w:shd w:fill="FFFFFF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2</w:t>
            </w:r>
          </w:p>
        </w:tc>
        <w:tc>
          <w:tcPr>
            <w:tcW w:type="dxa" w:w="4986"/>
            <w:shd w:fill="FFFFFF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El votante pertenece a esa sede y a esa organización.</w:t>
            </w:r>
          </w:p>
        </w:tc>
      </w:tr>
      <w:tr>
        <w:tc>
          <w:tcPr>
            <w:tcW w:type="dxa" w:w="4986"/>
            <w:shd w:fill="F2F4F7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3</w:t>
            </w:r>
          </w:p>
        </w:tc>
        <w:tc>
          <w:tcPr>
            <w:tcW w:type="dxa" w:w="4986"/>
            <w:shd w:fill="F2F4F7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La elección pertenece a esa sede y a esa organización.</w:t>
            </w:r>
          </w:p>
        </w:tc>
      </w:tr>
      <w:tr>
        <w:tc>
          <w:tcPr>
            <w:tcW w:type="dxa" w:w="4986"/>
            <w:shd w:fill="FFFFFF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4</w:t>
            </w:r>
          </w:p>
        </w:tc>
        <w:tc>
          <w:tcPr>
            <w:tcW w:type="dxa" w:w="4986"/>
            <w:shd w:fill="FFFFFF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El candidato es un votante de la misma sede que la elección.</w:t>
            </w:r>
          </w:p>
        </w:tc>
      </w:tr>
      <w:tr>
        <w:tc>
          <w:tcPr>
            <w:tcW w:type="dxa" w:w="4986"/>
            <w:shd w:fill="F2F4F7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5</w:t>
            </w:r>
          </w:p>
        </w:tc>
        <w:tc>
          <w:tcPr>
            <w:tcW w:type="dxa" w:w="4986"/>
            <w:shd w:fill="F2F4F7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El voto apunta a un candidato de esa elección.</w:t>
            </w:r>
          </w:p>
        </w:tc>
      </w:tr>
      <w:tr>
        <w:tc>
          <w:tcPr>
            <w:tcW w:type="dxa" w:w="4986"/>
            <w:shd w:fill="FFFFFF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6</w:t>
            </w:r>
          </w:p>
        </w:tc>
        <w:tc>
          <w:tcPr>
            <w:tcW w:type="dxa" w:w="4986"/>
            <w:shd w:fill="FFFFFF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Ese votante no tiene ya un voto en esa elección.</w:t>
            </w:r>
          </w:p>
        </w:tc>
      </w:tr>
    </w:tbl>
    <w:p>
      <w:pPr>
        <w:spacing w:after="120"/>
      </w:pPr>
    </w:p>
    <w:p>
      <w:pPr>
        <w:spacing w:after="160" w:before="0" w:line="276" w:lineRule="auto"/>
      </w:pPr>
      <w:r>
        <w:rPr>
          <w:rFonts w:ascii="Arial" w:hAnsi="Arial" w:eastAsia="Arial" w:cs="Arial"/>
          <w:b w:val="0"/>
          <w:i w:val="0"/>
          <w:color w:val="1A1A1A"/>
          <w:sz w:val="22"/>
        </w:rPr>
        <w:t>Si alguna igualdad se rompe, no se persiste. Eso es el tenant. No es un filtro de reporte: es la geometría del derecho al voto (sede, y en el SENA también jornada) más el dueño institucional.</w:t>
      </w:r>
    </w:p>
    <w:p>
      <w:pPr>
        <w:pStyle w:val="Heading1"/>
        <w:spacing w:before="320" w:after="160"/>
      </w:pPr>
      <w:r>
        <w:rPr>
          <w:rFonts w:ascii="Arial" w:hAnsi="Arial" w:eastAsia="Arial" w:cs="Arial"/>
          <w:b/>
          <w:i w:val="0"/>
          <w:color w:val="1B3A4B"/>
          <w:sz w:val="32"/>
        </w:rPr>
        <w:t>8. Qué queda igual a propósito</w:t>
      </w:r>
    </w:p>
    <w:p>
      <w:pPr>
        <w:spacing w:after="160" w:before="0" w:line="276" w:lineRule="auto"/>
      </w:pPr>
      <w:r>
        <w:rPr>
          <w:rFonts w:ascii="Arial" w:hAnsi="Arial" w:eastAsia="Arial" w:cs="Arial"/>
          <w:b w:val="0"/>
          <w:i w:val="0"/>
          <w:color w:val="1A1A1A"/>
          <w:sz w:val="22"/>
        </w:rPr>
        <w:t>No se rediseñó la urna. Se le puso dueño. Siguen valiendo las cinco invariantes de SIGEVA: un votante un voto; el OTP caduca y validar no es votar; nadie vota en otra sede ni otra jornada; fuera de la ventana no hay urna; el acta se arma con los votos guardados, incluyendo ceros y empate.</w:t>
      </w:r>
    </w:p>
    <w:p>
      <w:pPr>
        <w:spacing w:after="160" w:before="0" w:line="276" w:lineRule="auto"/>
      </w:pPr>
      <w:r>
        <w:rPr>
          <w:rFonts w:ascii="Arial" w:hAnsi="Arial" w:eastAsia="Arial" w:cs="Arial"/>
          <w:b w:val="0"/>
          <w:i w:val="0"/>
          <w:color w:val="1A1A1A"/>
          <w:sz w:val="22"/>
        </w:rPr>
        <w:t>Geografía Colombia (departamento, municipio) puede seguir compartida: no es secreto electoral. Regional es catálogo SENA, no el núcleo.</w:t>
      </w:r>
    </w:p>
    <w:p>
      <w:pPr>
        <w:pStyle w:val="Heading1"/>
        <w:spacing w:before="320" w:after="160"/>
      </w:pPr>
      <w:r>
        <w:rPr>
          <w:rFonts w:ascii="Arial" w:hAnsi="Arial" w:eastAsia="Arial" w:cs="Arial"/>
          <w:b/>
          <w:i w:val="0"/>
          <w:color w:val="1B3A4B"/>
          <w:sz w:val="32"/>
        </w:rPr>
        <w:t>9. Qué le pedimos aceptar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B3A4B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Afirmación</w:t>
            </w:r>
          </w:p>
        </w:tc>
        <w:tc>
          <w:tcPr>
            <w:tcW w:type="dxa" w:w="4986"/>
            <w:shd w:fill="1B3A4B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/>
                <w:i w:val="0"/>
                <w:color w:val="FFFFFF"/>
                <w:sz w:val="20"/>
              </w:rPr>
              <w:t>Qué implica</w:t>
            </w:r>
          </w:p>
        </w:tc>
      </w:tr>
      <w:tr>
        <w:tc>
          <w:tcPr>
            <w:tcW w:type="dxa" w:w="4986"/>
            <w:shd w:fill="F2F4F7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El tenant es la organización, no el centro</w:t>
            </w:r>
          </w:p>
        </w:tc>
        <w:tc>
          <w:tcPr>
            <w:tcW w:type="dxa" w:w="4986"/>
            <w:shd w:fill="F2F4F7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El SENA es el primer cliente, con muchos centros.</w:t>
            </w:r>
          </w:p>
        </w:tc>
      </w:tr>
      <w:tr>
        <w:tc>
          <w:tcPr>
            <w:tcW w:type="dxa" w:w="4986"/>
            <w:shd w:fill="FFFFFF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El censo es una sola tabla de votantes</w:t>
            </w:r>
          </w:p>
        </w:tc>
        <w:tc>
          <w:tcPr>
            <w:tcW w:type="dxa" w:w="4986"/>
            <w:shd w:fill="FFFFFF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No habrá tabla estudiante/empleado. El SENA sigue viendo “aprendiz” en pantalla.</w:t>
            </w:r>
          </w:p>
        </w:tc>
      </w:tr>
      <w:tr>
        <w:tc>
          <w:tcPr>
            <w:tcW w:type="dxa" w:w="4986"/>
            <w:shd w:fill="F2F4F7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Ficha y jornada son del SENA</w:t>
            </w:r>
          </w:p>
        </w:tc>
        <w:tc>
          <w:tcPr>
            <w:tcW w:type="dxa" w:w="4986"/>
            <w:shd w:fill="F2F4F7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Otro cliente no está obligado a usarlas.</w:t>
            </w:r>
          </w:p>
        </w:tc>
      </w:tr>
      <w:tr>
        <w:tc>
          <w:tcPr>
            <w:tcW w:type="dxa" w:w="4986"/>
            <w:shd w:fill="FFFFFF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El candidato sale del censo</w:t>
            </w:r>
          </w:p>
        </w:tc>
        <w:tc>
          <w:tcPr>
            <w:tcW w:type="dxa" w:w="4986"/>
            <w:shd w:fill="FFFFFF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No se inscribe un nombre que no esté en el padrón de esa sede.</w:t>
            </w:r>
          </w:p>
        </w:tc>
      </w:tr>
      <w:tr>
        <w:tc>
          <w:tcPr>
            <w:tcW w:type="dxa" w:w="4986"/>
            <w:shd w:fill="F2F4F7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Este documento es análisis</w:t>
            </w:r>
          </w:p>
        </w:tc>
        <w:tc>
          <w:tcPr>
            <w:tcW w:type="dxa" w:w="4986"/>
            <w:shd w:fill="F2F4F7" w:val="clear"/>
          </w:tcPr>
          <w:p>
            <w:pPr>
              <w:spacing w:after="0" w:before="0"/>
            </w:pPr>
            <w:r/>
            <w:r>
              <w:rPr>
                <w:rFonts w:ascii="Arial" w:hAnsi="Arial" w:eastAsia="Arial" w:cs="Arial"/>
                <w:b w:val="0"/>
                <w:i w:val="0"/>
                <w:color w:val="1A1A1A"/>
                <w:sz w:val="20"/>
              </w:rPr>
              <w:t>No se migró la base todavía. El código actual sigue siendo el as-is SENA.</w:t>
            </w:r>
          </w:p>
        </w:tc>
      </w:tr>
    </w:tbl>
    <w:p>
      <w:pPr>
        <w:spacing w:after="120"/>
      </w:pPr>
    </w:p>
    <w:p>
      <w:pPr>
        <w:spacing w:after="160" w:before="0" w:line="276" w:lineRule="auto"/>
      </w:pPr>
      <w:r>
        <w:rPr>
          <w:rFonts w:ascii="Arial" w:hAnsi="Arial" w:eastAsia="Arial" w:cs="Arial"/>
          <w:b w:val="0"/>
          <w:i w:val="0"/>
          <w:color w:val="1A1A1A"/>
          <w:sz w:val="22"/>
        </w:rPr>
        <w:t>Cuando este mapa esté aceptado, el orden de construcción (otro ciclo, no este documento) es: crear organización y sembrar SENA; colgar los centros; colgar censo y gestores; colgar elecciones y candidatos; reforzar el voto único en base; separar el estado del OTP. Hasta entonces el producto operativo sigue siendo la red SENA multi-sede.</w:t>
      </w:r>
    </w:p>
    <w:p>
      <w:pPr>
        <w:pStyle w:val="Heading1"/>
        <w:spacing w:before="320" w:after="160"/>
      </w:pPr>
      <w:r>
        <w:rPr>
          <w:rFonts w:ascii="Arial" w:hAnsi="Arial" w:eastAsia="Arial" w:cs="Arial"/>
          <w:b/>
          <w:i w:val="0"/>
          <w:color w:val="1B3A4B"/>
          <w:sz w:val="32"/>
        </w:rPr>
        <w:t>10. Dónde está el dibujo</w:t>
      </w:r>
    </w:p>
    <w:p>
      <w:pPr>
        <w:spacing w:after="160" w:before="0" w:line="276" w:lineRule="auto"/>
      </w:pPr>
      <w:r>
        <w:rPr>
          <w:rFonts w:ascii="Arial" w:hAnsi="Arial" w:eastAsia="Arial" w:cs="Arial"/>
          <w:b w:val="0"/>
          <w:i w:val="0"/>
          <w:color w:val="1A1A1A"/>
          <w:sz w:val="22"/>
        </w:rPr>
        <w:t>El diagrama para Lucid es el archivo Draw.io SIGEVA-modelo-multitenant.drawio, en esta misma carpeta de documentación. Importar: Lucid → Importar documentos → Buscar → ese archivo.</w:t>
      </w:r>
    </w:p>
    <w:p>
      <w:pPr>
        <w:spacing w:after="160" w:before="0" w:line="276" w:lineRule="auto"/>
      </w:pPr>
      <w:r>
        <w:rPr>
          <w:rFonts w:ascii="Arial" w:hAnsi="Arial" w:eastAsia="Arial" w:cs="Arial"/>
          <w:b w:val="0"/>
          <w:i/>
          <w:color w:val="4A5563"/>
          <w:sz w:val="22"/>
        </w:rPr>
        <w:t>Este Word es la explicación. El Draw.io es la foto. Juntos son el entregable de modelado para el Product Owner.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