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66666"/>
          <w:sz w:val="18"/>
          <w:szCs w:val="18"/>
        </w:rPr>
        <w:t xml:space="preserve">MASK AI MARKET INTELLIGENCE — STAGE A CALIBRATION DOSSIER</w:t>
      </w:r>
    </w:p>
    <w:p>
      <w:pPr>
        <w:spacing w:after="80"/>
      </w:pPr>
      <w:r>
        <w:rPr>
          <w:b/>
          <w:bCs/>
          <w:color w:val="1F3B57"/>
          <w:sz w:val="40"/>
          <w:szCs w:val="40"/>
        </w:rPr>
        <w:t xml:space="preserve">Combined Real Source Report</w:t>
      </w:r>
    </w:p>
    <w:p>
      <w:pPr>
        <w:spacing w:after="40"/>
      </w:pPr>
      <w:r>
        <w:rPr>
          <w:sz w:val="22"/>
          <w:szCs w:val="22"/>
        </w:rPr>
        <w:t xml:space="preserve">Market: us_hvac_10_99 — United States HVAC contractors, 10–99 employees (NAICS 238220)</w:t>
      </w:r>
    </w:p>
    <w:p>
      <w:pPr>
        <w:spacing w:after="260"/>
      </w:pPr>
      <w:r>
        <w:rPr>
          <w:i/>
          <w:iCs/>
          <w:color w:val="666666"/>
          <w:sz w:val="18"/>
          <w:szCs w:val="18"/>
        </w:rPr>
        <w:t xml:space="preserve">Generated 2026-09-14/15 · Part A: the real M1 score (Census-only, unchanged). Part B: every other real source retrieved for this market, combined in one place, with what fed a score vs. what is supporting context clearly separated.</w:t>
      </w:r>
    </w:p>
    <w:p>
      <w:pPr>
        <w:pBdr>
          <w:bottom w:val="single" w:color="1F3B57" w:sz="8" w:space="4"/>
        </w:pBdr>
        <w:spacing w:after="200"/>
      </w:pPr>
      <w:r>
        <w:t xml:space="preserve"/>
      </w:r>
    </w:p>
    <w:p>
      <w:pPr>
        <w:spacing w:after="240" w:before="100"/>
      </w:pPr>
      <w:r>
        <w:rPr>
          <w:b/>
          <w:bCs/>
          <w:color w:val="1F3B57"/>
          <w:sz w:val="24"/>
          <w:szCs w:val="24"/>
        </w:rPr>
        <w:t xml:space="preserve">PART A — THE M1 SCORE (CENSUS CBP ONLY)</w:t>
      </w:r>
    </w:p>
    <w:p>
      <w:pPr>
        <w:spacing w:after="140"/>
      </w:pPr>
      <w:r>
        <w:rPr>
          <w:i/>
          <w:iCs/>
        </w:rPr>
        <w:t xml:space="preserve">M1's approved v1 formula (configs/formulas/v1.yaml) is deliberately built from one single source, Census CBP, so all five components share the exact same real geography/population and are mathematically comparable without approximation. Mixing in BLS, SEC, SAM.gov, or USAspending data here would silently change the approved M1 methodology — not something this report does. Those other real sources are combined separately in Part B as supporting market context, not as inputs to the 6.34 score.</w:t>
      </w:r>
    </w:p>
    <w:p>
      <w:pPr>
        <w:pStyle w:val="Heading1"/>
        <w:spacing w:after="160" w:before="360"/>
      </w:pPr>
      <w:r>
        <w:t xml:space="preserve">1. Result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M1 Score</w:t>
            </w:r>
          </w:p>
        </w:tc>
        <w:tc>
          <w:tcPr>
            <w:tcW w:type="dxa" w:w="312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 Weight in Overall System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6.34 / 10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COMPLETE — all 5 components observed, none missing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10% (M1 of 10 methods, M1–M10)</w:t>
            </w:r>
          </w:p>
        </w:tc>
      </w:tr>
    </w:tbl>
    <w:p>
      <w:pPr>
        <w:spacing w:after="140" w:before="200"/>
      </w:pPr>
      <w:r>
        <w:rPr>
          <w:i/>
          <w:iCs/>
          <w:color w:val="666666"/>
          <w:sz w:val="20"/>
          <w:szCs w:val="20"/>
        </w:rPr>
        <w:t xml:space="preserve">This is M1’s own real, deterministic method score — not the market’s overall Automated Research Score, which also needs M2–M10 and is separately labeled PROVISIONAL until enough methods carry real evidence (see docs/SCORING.md).</w:t>
      </w:r>
    </w:p>
    <w:p>
      <w:pPr>
        <w:spacing w:after="140"/>
      </w:pPr>
      <w:r>
        <w:t xml:space="preserve">Every input to this score is a real, observed value from the U.S. Census Bureau’s County Business Patterns (CBP) API — nothing was estimated, inferred, or supplied by an AI model. Gemini and other language models never touch M1: it is a fully deterministic calculation over government statistics.</w:t>
      </w:r>
    </w:p>
    <w:p>
      <w:pPr>
        <w:pStyle w:val="Heading1"/>
        <w:spacing w:after="160" w:before="360"/>
      </w:pPr>
      <w:r>
        <w:t xml:space="preserve">2. What M1 Measures</w:t>
      </w:r>
    </w:p>
    <w:p>
      <w:pPr>
        <w:spacing w:after="140"/>
      </w:pPr>
      <w:r>
        <w:t xml:space="preserve">M1 (“Quantitative Market Analysis”) asks: is this a real, large-enough, sufficiently fragmented, economically capable, growing market, concentrated in the exact company-size band MASK AI would sell into? It combines five components, each drawn from the same Census dataset so they describe the same real population consistently: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buyer_pool — how many real target-band businesses exist (serviceable_businesses)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target_band_match — what share of the whole industry falls inside the target band (target_band_share)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economic_capacity — real average annual payroll per target-band establishment, a proxy for ability to pay (annual_payroll_per_serviceable_establishment_usd)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fragmentation — share of industry employment held by establishments under 100 employees, i.e. how fragmented (vs. dominated by a few large players) the industry is (fragmentation_share)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— the target band’s real 5-year establishment-count CAGR (growth_cagr)</w:t>
      </w:r>
    </w:p>
    <w:p>
      <w:pPr>
        <w:pStyle w:val="Heading1"/>
        <w:spacing w:after="160" w:before="360"/>
      </w:pPr>
      <w:r>
        <w:t xml:space="preserve">3. Real Data Source</w:t>
      </w:r>
    </w:p>
    <w:p>
      <w:pPr>
        <w:pStyle w:val="Heading2"/>
        <w:spacing w:after="120" w:before="260"/>
      </w:pPr>
      <w:r>
        <w:t xml:space="preserve">3.1 Source</w:t>
      </w:r>
    </w:p>
    <w:p>
      <w:pPr>
        <w:spacing w:after="140"/>
      </w:pPr>
      <w:r>
        <w:t xml:space="preserve">U.S. Census Bureau — County Business Patterns (CBP) API, the government’s own annual establishment-level economic census by industry, geography, and employment-size class.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Endpoint:  https://api.census.gov/data/{year}/cbp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Fields:    NAME, NAICS2017, EMPSZES, ESTAB, EMP, PAYANN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NAICS:     238220  (Plumbing, Heating, and Air-Conditioning Contractors)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Geography: us:*  (United States, national total)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Years:     2022 (current) and 2017 (comparison, for the 5-year CAGR)</w:t>
      </w:r>
    </w:p>
    <w:p>
      <w:pPr>
        <w:spacing w:after="140"/>
      </w:pPr>
      <w:r>
        <w:t xml:space="preserve">Retrieved live via mask_api.modules.official_data.census_cbp_request, an existing, tested adapter — not scraped or manually entered. This run made 9 real API requests totaling 2,109 bytes and is fully reproducible with: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uv run python scripts/run_census_m1.py</w:t>
      </w:r>
    </w:p>
    <w:p>
      <w:pPr>
        <w:pStyle w:val="Heading2"/>
        <w:spacing w:after="120" w:before="260"/>
      </w:pPr>
      <w:r>
        <w:t xml:space="preserve">3.2 Employment-size bands used</w:t>
      </w:r>
    </w:p>
    <w:p>
      <w:pPr>
        <w:spacing w:after="140"/>
      </w:pPr>
      <w:r>
        <w:t xml:space="preserve">Census CBP reports establishment counts, employment, and payroll by a fixed set of employment-size class codes. The market’s company band (10–99 employees) is covered by exactly three of them: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EMPSZES 230 = 10–19 employees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EMPSZES 241 = 20–49 employees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EMPSZES 242 = 50–99 employees</w:t>
      </w:r>
    </w:p>
    <w:p>
      <w:pPr>
        <w:spacing w:after="140"/>
      </w:pPr>
      <w:r>
        <w:t xml:space="preserve">EMPSZES 001 (all establishment sizes) and every band under 100 employees (210, 220, 230, 241, 242) were also pulled, to compute target_band_match and fragmentation against the real, same-year industry totals.</w:t>
      </w:r>
    </w:p>
    <w:p>
      <w:pPr>
        <w:pStyle w:val="Heading1"/>
        <w:spacing w:after="160" w:before="360"/>
      </w:pPr>
      <w:r>
        <w:t xml:space="preserve">4. Real Raw Data Retrieved</w:t>
      </w:r>
    </w:p>
    <w:p>
      <w:pPr>
        <w:pStyle w:val="Heading2"/>
        <w:spacing w:after="120" w:before="260"/>
      </w:pPr>
      <w:r>
        <w:t xml:space="preserve">4.1 2022 (current year)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100"/>
        <w:gridCol w:w="2100"/>
        <w:gridCol w:w="2100"/>
      </w:tblGrid>
      <w:tr>
        <w:trPr>
          <w:tblHeader/>
        </w:trPr>
        <w:tc>
          <w:tcPr>
            <w:tcW w:type="dxa" w:w="306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EMPSZES band</w:t>
            </w:r>
          </w:p>
        </w:tc>
        <w:tc>
          <w:tcPr>
            <w:tcW w:type="dxa" w:w="21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ESTAB (establishments)</w:t>
            </w:r>
          </w:p>
        </w:tc>
        <w:tc>
          <w:tcPr>
            <w:tcW w:type="dxa" w:w="21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EMP (employment)</w:t>
            </w:r>
          </w:p>
        </w:tc>
        <w:tc>
          <w:tcPr>
            <w:tcW w:type="dxa" w:w="21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PAYANN ($1,000s)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001 (all sizes)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109,601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1,176,759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82,235,079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210 (1-4 emp.)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63,898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109,898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6,013,309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220 (5-9 emp.)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20,550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135,440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7,241,010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230 (10-19 emp.) — target band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12,938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174,215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10,639,781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241 (20-49 emp.) — target band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8,184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246,142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17,099,128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242 (50-99 emp.) — target band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2,495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172,279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13,026,493</w:t>
            </w:r>
          </w:p>
        </w:tc>
      </w:tr>
    </w:tbl>
    <w:p>
      <w:pPr>
        <w:spacing w:after="160" w:before="160"/>
      </w:pPr>
      <w:r>
        <w:rPr>
          <w:i/>
          <w:iCs/>
          <w:color w:val="666666"/>
          <w:sz w:val="18"/>
          <w:szCs w:val="18"/>
        </w:rPr>
        <w:t xml:space="preserve">PAYANN is Census’s own unit: annual payroll in thousands of dollars.</w:t>
      </w:r>
    </w:p>
    <w:p>
      <w:pPr>
        <w:pStyle w:val="Heading2"/>
        <w:spacing w:after="120" w:before="260"/>
      </w:pPr>
      <w:r>
        <w:t xml:space="preserve">4.2 2017 (comparison year, target band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100"/>
        <w:gridCol w:w="2100"/>
        <w:gridCol w:w="2100"/>
      </w:tblGrid>
      <w:tr>
        <w:trPr>
          <w:tblHeader/>
        </w:trPr>
        <w:tc>
          <w:tcPr>
            <w:tcW w:type="dxa" w:w="306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EMPSZES band</w:t>
            </w:r>
          </w:p>
        </w:tc>
        <w:tc>
          <w:tcPr>
            <w:tcW w:type="dxa" w:w="21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ESTAB (establishments)</w:t>
            </w:r>
          </w:p>
        </w:tc>
        <w:tc>
          <w:tcPr>
            <w:tcW w:type="dxa" w:w="21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EMP (employment)</w:t>
            </w:r>
          </w:p>
        </w:tc>
        <w:tc>
          <w:tcPr>
            <w:tcW w:type="dxa" w:w="21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PAYANN ($1,000s)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230 (10-19 emp.) — target band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11,825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159,540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8,322,574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241 (20-49 emp.) — target band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7,204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216,462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12,795,503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242 (50-99 emp.) — target band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2,105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142,690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9,270,028</w:t>
            </w:r>
          </w:p>
        </w:tc>
      </w:tr>
    </w:tbl>
    <w:p>
      <w:pPr>
        <w:pStyle w:val="Heading1"/>
        <w:spacing w:after="160" w:before="360"/>
      </w:pPr>
      <w:r>
        <w:t xml:space="preserve">5. Component-by-Component Calculation</w:t>
      </w:r>
    </w:p>
    <w:p>
      <w:pPr>
        <w:spacing w:after="140"/>
      </w:pPr>
      <w:r>
        <w:t xml:space="preserve">Each component follows configs/formulas/v1.yaml’s approved v1 M1 formula exactly: a raw value computed from the real Census numbers above, mapped to a 0–10 sub-score by an approved transform with fixed calibration bounds, then multiplied by its approved weight.</w:t>
      </w:r>
    </w:p>
    <w:p>
      <w:pPr>
        <w:pStyle w:val="Heading2"/>
        <w:spacing w:after="120" w:before="260"/>
      </w:pPr>
      <w:r>
        <w:t xml:space="preserve">5.1 buyer_pool — weight 0.30</w:t>
      </w:r>
    </w:p>
    <w:p>
      <w:pPr>
        <w:spacing w:after="140"/>
      </w:pPr>
      <w:r>
        <w:t xml:space="preserve">Real establishments in the target band (sum of EMPSZES 230+241+242, 2022):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12,938 + 8,184 + 2,495 = 23,617 establishments</w:t>
      </w:r>
    </w:p>
    <w:p>
      <w:pPr>
        <w:spacing w:after="140"/>
      </w:pPr>
      <w:r>
        <w:t xml:space="preserve">Transform: log_scale(value, low=500, high=100,000) — a logarithmic 0–10 map, calibrated so 500 real target-band establishments floors at 0 and 100,000 caps at 10.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log_scale(23,617; 500; 100,000) = 10 × (ln 23,617 − ln 500) / (ln 100,000 − ln 500) = 7.2761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Weighted contribution: 7.2761 × 0.30 = 2.1828</w:t>
      </w:r>
    </w:p>
    <w:p>
      <w:pPr>
        <w:pStyle w:val="Heading2"/>
        <w:spacing w:after="120" w:before="260"/>
      </w:pPr>
      <w:r>
        <w:t xml:space="preserve">5.2 growth — weight 0.20</w:t>
      </w:r>
    </w:p>
    <w:p>
      <w:pPr>
        <w:spacing w:after="140"/>
      </w:pPr>
      <w:r>
        <w:t xml:space="preserve">Real target-band establishment count, 2017 vs. 2022: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2017: 11,825 + 7,204 + 2,105 = 21,134 establishments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2022: 12,938 + 8,184 + 2,495 = 23,617 establishments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5-yr CAGR = (23,617 / 21,134)^(1/5) − 1 = 0.022465  (≈2.25% per year)</w:t>
      </w:r>
    </w:p>
    <w:p>
      <w:pPr>
        <w:spacing w:after="140"/>
      </w:pPr>
      <w:r>
        <w:t xml:space="preserve">Transform: linear(value, low=−0.05, high=0.10) — a straight 0–10 map where a 5% annual decline floors at 0 and a 10% annual rate of growth caps at 10.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linear(0.022465; −0.05; 0.10) = 10 × (0.022465 − (−0.05)) / (0.10 − (−0.05)) = 4.8310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Weighted contribution: 4.8310 × 0.20 = 0.9662</w:t>
      </w:r>
    </w:p>
    <w:p>
      <w:pPr>
        <w:pStyle w:val="Heading2"/>
        <w:spacing w:after="120" w:before="260"/>
      </w:pPr>
      <w:r>
        <w:t xml:space="preserve">5.3 fragmentation — weight 0.15</w:t>
      </w:r>
    </w:p>
    <w:p>
      <w:pPr>
        <w:spacing w:after="140"/>
      </w:pPr>
      <w:r>
        <w:t xml:space="preserve">Real 2022 employment held by every establishment size band under 100 employees, divided by real total industry employment (EMPSZES 001):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(109,898 + 135,440 + 174,215 + 246,142 + 172,279) / 1,176,759 = 837,974 / 1,176,759 = 0.712103</w:t>
      </w:r>
    </w:p>
    <w:p>
      <w:pPr>
        <w:spacing w:after="140"/>
      </w:pPr>
      <w:r>
        <w:t xml:space="preserve">Transform: linear(value, low=0.30, high=0.90) — 30% of employment in sub-100-employee firms floors at 0, 90% caps at 10 (higher = more fragmented, i.e. no dominant large incumbents).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linear(0.712103; 0.30; 0.90) = 10 × (0.712103 − 0.30) / (0.90 − 0.30) = 6.8684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Weighted contribution: 6.8684 × 0.15 = 1.0303</w:t>
      </w:r>
    </w:p>
    <w:p>
      <w:pPr>
        <w:pStyle w:val="Heading2"/>
        <w:spacing w:after="120" w:before="260"/>
      </w:pPr>
      <w:r>
        <w:t xml:space="preserve">5.4 economic_capacity — weight 0.20</w:t>
      </w:r>
    </w:p>
    <w:p>
      <w:pPr>
        <w:spacing w:after="140"/>
      </w:pPr>
      <w:r>
        <w:t xml:space="preserve">Real 2022 target-band payroll divided by real target-band establishments: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Payroll: 10,639,781 + 17,099,128 + 13,026,493 = 40,765,402 (×$1,000) = $40,765,402,000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$40,765,402,000 / 23,617 establishments = $1,726,104 / establishment</w:t>
      </w:r>
    </w:p>
    <w:p>
      <w:pPr>
        <w:spacing w:after="140"/>
      </w:pPr>
      <w:r>
        <w:t xml:space="preserve">Transform: log_scale(value, low=100,000, high=5,000,000) — $100K/establishment floors at 0, $5M/establishment caps at 10.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log_scale($1,726,104; $100,000; $5,000,000) = 7.2813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Weighted contribution: 7.2813 × 0.20 = 1.4563</w:t>
      </w:r>
    </w:p>
    <w:p>
      <w:pPr>
        <w:pStyle w:val="Heading2"/>
        <w:spacing w:after="120" w:before="260"/>
      </w:pPr>
      <w:r>
        <w:t xml:space="preserve">5.5 target_band_match — weight 0.15</w:t>
      </w:r>
    </w:p>
    <w:p>
      <w:pPr>
        <w:spacing w:after="140"/>
      </w:pPr>
      <w:r>
        <w:t xml:space="preserve">Real target-band establishments divided by real all-size-band establishments (EMPSZES 001), same NAICS/year: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23,617 / 109,601 = 0.215482  (≈21.5% of the whole industry is in the 10–99-employee band)</w:t>
      </w:r>
    </w:p>
    <w:p>
      <w:pPr>
        <w:spacing w:after="140"/>
      </w:pPr>
      <w:r>
        <w:t xml:space="preserve">Transform: linear(value, low=0.05, high=0.40) — 5% of the industry in-band floors at 0, 40% caps at 10.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linear(0.215482; 0.05; 0.40) = 10 × (0.215482 − 0.05) / (0.40 − 0.05) = 4.7280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Weighted contribution: 4.7280 × 0.15 = 0.7092</w:t>
      </w:r>
    </w:p>
    <w:p>
      <w:pPr>
        <w:pStyle w:val="Heading1"/>
        <w:spacing w:after="160" w:before="360"/>
      </w:pPr>
      <w:r>
        <w:t xml:space="preserve">6. Final Aggregation</w:t>
      </w:r>
    </w:p>
    <w:p>
      <w:pPr>
        <w:spacing w:after="140"/>
      </w:pPr>
      <w:r>
        <w:t xml:space="preserve">v1 M1 aggregation (configs/formulas/v1.yaml): weighted_sum, expression 0.30×B + 0.20×G + 0.15×F + 0.20×E + 0.15×T</w:t>
      </w:r>
    </w:p>
    <w:tbl>
      <w:tblPr>
        <w:tblW w:type="dxa" w:w="10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1200"/>
        <w:gridCol w:w="900"/>
        <w:gridCol w:w="1440"/>
      </w:tblGrid>
      <w:tr>
        <w:trPr>
          <w:tblHeader/>
        </w:trPr>
        <w:tc>
          <w:tcPr>
            <w:tcW w:type="dxa" w:w="234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Raw value (real)</w:t>
            </w:r>
          </w:p>
        </w:tc>
        <w:tc>
          <w:tcPr>
            <w:tcW w:type="dxa" w:w="234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Transform</w:t>
            </w:r>
          </w:p>
        </w:tc>
        <w:tc>
          <w:tcPr>
            <w:tcW w:type="dxa" w:w="12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0–10 score</w:t>
            </w:r>
          </w:p>
        </w:tc>
        <w:tc>
          <w:tcPr>
            <w:tcW w:type="dxa" w:w="9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44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Contribution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buyer_pool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23,617 establishments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log_scale(500, 100,000)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7.2761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0.30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2.1828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growth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0.022465 (2.25%/yr CAGR)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linear(-0.05, 0.10)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4.8310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0.20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0.9662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fragmentation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0.712103 (71.2% share)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linear(0.30, 0.90)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6.8684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0.15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1.0303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economic_capacity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$1,726,104 / establishment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log_scale(100,000, 5,000,000)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7.2813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0.20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1.4563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target_band_match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0.215482 (21.5% share)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linear(0.05, 0.40)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4.7280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0.15</w:t>
            </w:r>
          </w:p>
        </w:tc>
        <w:tc>
          <w:tcPr>
            <w:tcW w:type="dxa" w:w="1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0.7092</w:t>
            </w:r>
          </w:p>
        </w:tc>
      </w:tr>
    </w:tbl>
    <w:p>
      <w:pPr>
        <w:spacing w:after="60" w:before="220"/>
      </w:pPr>
      <w:r>
        <w:rPr>
          <w:b/>
          <w:bCs/>
          <w:color w:val="1F3B57"/>
          <w:sz w:val="24"/>
          <w:szCs w:val="24"/>
        </w:rPr>
        <w:t xml:space="preserve">2.1828 + 0.9662 + 1.0303 + 1.4563 + 0.7092 = 6.3448  →  M1 = 6.34 / 10</w:t>
      </w:r>
    </w:p>
    <w:p>
      <w:pPr>
        <w:spacing w:after="140"/>
      </w:pPr>
      <w:r>
        <w:t xml:space="preserve">(clamp10 has no effect here since the raw sum already falls inside 0–10; it exists as a safety bound for cases where it wouldn’t.)</w:t>
      </w:r>
    </w:p>
    <w:p>
      <w:pPr>
        <w:pStyle w:val="Heading1"/>
        <w:spacing w:after="160" w:before="360"/>
      </w:pPr>
      <w:r>
        <w:t xml:space="preserve">7. Data Integrity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76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Formula version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v1 (configs/formulas/v1.yaml, unmodified)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COMPLETE — required_all (serviceable_businesses) present; all 4 optional components present (≥ 3 required)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Observation state (all 5 inputs)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OBSERVED — real government data, nothing estimated or inferred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Missing / unknown components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Inputs SHA-256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ceba3b87734067c01d57a3a1796e367e08857868c97f358f3c9f63483ef70da3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AI model involvement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None — M1 is 100% deterministic backend calculation over Census data</w:t>
            </w:r>
          </w:p>
        </w:tc>
      </w:tr>
    </w:tbl>
    <w:p>
      <w:pPr>
        <w:pStyle w:val="Heading2"/>
        <w:spacing w:after="120" w:before="260"/>
      </w:pPr>
      <w:r>
        <w:t xml:space="preserve">Evidence references (one per component)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census_cbp:2022:NAICS238220:EMPSZES=230+241+242:ESTAB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census_cbp:2017-&gt;2022:NAICS238220:EMPSZES=230+241+242:ESTAB_cagr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census_cbp:2022:NAICS238220:employment_under_100_employees_share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census_cbp:2022:NAICS238220:EMPSZES=230+241+242:PAYANN_per_ESTAB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census_cbp:2022:NAICS238220:EMPSZES=230+241+242_over_001:ESTAB_share</w:t>
      </w:r>
    </w:p>
    <w:p>
      <w:pPr>
        <w:pStyle w:val="Heading1"/>
        <w:spacing w:after="160" w:before="360"/>
      </w:pPr>
      <w:r>
        <w:t xml:space="preserve">8. Limitations &amp; Caveats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NAICS 238220 (“Plumbing, Heating, and Air-Conditioning Contractors”) is the closest official industry code; it is broader than “HVAC only” (it also includes plumbing-only contractors classified here) and this is a real, inherent proxy limitation of using NAICS, not a data error.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Census CBP counts establishments (physical business locations), not necessarily distinct legal companies — a multi-location company counts once per location.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national (US-wide) figure; no region has been selected yet. Regional analysis is a separate, later step (state/metro discovery already run once in this project, see AUTONOMOUS-035).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M1 is only one of ten methods and is 10% of the overall system weight. A high M1 score describes market size/scale/growth — it says nothing about real pain, workflow, competition, or buyer accessibility, which are M2–M7.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score will not change on its own: Census CBP is an annual release. It should be recomputed when Census publishes a newer vintage (this run used the 2022 release, the latest available).</w:t>
      </w:r>
    </w:p>
    <w:p>
      <w:pPr>
        <w:spacing w:after="240" w:before="400"/>
      </w:pPr>
      <w:r>
        <w:rPr>
          <w:b/>
          <w:bCs/>
          <w:color w:val="1F3B57"/>
          <w:sz w:val="24"/>
          <w:szCs w:val="24"/>
        </w:rPr>
        <w:t xml:space="preserve">PART B — EVERY OTHER REAL SOURCE RETRIEVED FOR THIS MARKET</w:t>
      </w:r>
    </w:p>
    <w:p>
      <w:pPr>
        <w:spacing w:after="140"/>
      </w:pPr>
      <w:r>
        <w:t xml:space="preserve">Retrieved live on 2026-09-14/15 via scripts/ingest_us_hvac_10_99.py, which reuses the same tested official_data/youtube_data adapters M1 and M2 use — nothing here was scraped, typed by hand, or produced by a model. None of it changes the M1 score above; it is combined here as real, additional, independently-verifiable market evidence about the same market.</w:t>
      </w:r>
    </w:p>
    <w:p>
      <w:pPr>
        <w:pStyle w:val="Heading1"/>
        <w:spacing w:after="160" w:before="360"/>
      </w:pPr>
      <w:r>
        <w:t xml:space="preserve">9. Combined Source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6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36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was retrieved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Census CBP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USED (Part A)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23,617 real establishments, 10–99 employees, NAICS 238220 (see Part A)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BLS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36 real monthly observations, Specialty Trade Contractors employment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SEC EDGAR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1,000 real filings, Comfort Systems USA Inc (NYSE: FIX)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SAM.gov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25 real federal procurement opportunities, NAICS 238220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USAspending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25 real federal contract awards, NAICS 238220, $642.7M combined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YouTube Search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15 real videos for “HVAC dispatch software” (market/competitor signal)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BEA Regional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SKIPPED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us_hvac_10_99 defines no target region yet — BEA Regional needs one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Common Crawl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SKIPPED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no approved SourcePolicy for a specific HVAC-industry URL exists yet</w:t>
            </w:r>
          </w:p>
        </w:tc>
      </w:tr>
    </w:tbl>
    <w:p>
      <w:pPr>
        <w:pStyle w:val="Heading1"/>
        <w:spacing w:after="160" w:before="360"/>
      </w:pPr>
      <w:r>
        <w:t xml:space="preserve">10. BLS — Employment Trend</w:t>
      </w:r>
    </w:p>
    <w:p>
      <w:pPr>
        <w:spacing w:after="140"/>
      </w:pPr>
      <w:r>
        <w:t xml:space="preserve">Source: Bureau of Labor Statistics, Current Employment Statistics (CES) public API (keyless).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Series: CES2023800001 — Specialty Trade Contractors, All Employees, Thousands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Endpoint: https://api.bls.gov/publicAPI/v2/timeseries/data/</w:t>
      </w:r>
    </w:p>
    <w:p>
      <w:pPr>
        <w:spacing w:after="140"/>
      </w:pPr>
      <w:r>
        <w:t xml:space="preserve">36 real monthly observations retrieved (2023–2025). Most recent real value: 5,222.4 thousand employees nationally (Specialty Trade Contractors, December 2025) — the broader trade category NAICS 238220 sits inside, tracked as a real, independent employment-trend signal alongside Census CBP’s own establishment-level growth_cagr in Part A.</w:t>
      </w:r>
    </w:p>
    <w:p>
      <w:pPr>
        <w:spacing w:after="140"/>
      </w:pPr>
      <w:r>
        <w:t xml:space="preserve">A second real BLS series was separately verified live for this project’s M4 work: CES2000000003 (Construction supersector, Average Hourly Earnings of All Employees) — $35.60/hour, 2023-M01 — see AUTONOMOUS-041 for why it could not honestly be combined into a dollar economic-burden figure without a real hours-lost quantity to multiply it by.</w:t>
      </w:r>
    </w:p>
    <w:p>
      <w:pPr>
        <w:pStyle w:val="Heading1"/>
        <w:spacing w:after="160" w:before="360"/>
      </w:pPr>
      <w:r>
        <w:t xml:space="preserve">11. SEC EDGAR — Public-Company Filings</w:t>
      </w:r>
    </w:p>
    <w:p>
      <w:pPr>
        <w:spacing w:after="140"/>
      </w:pPr>
      <w:r>
        <w:t xml:space="preserve">Source: SEC EDGAR full-text/submissions API (keyless, requires only a declared contact user-agent).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Company: Comfort Systems USA Inc (NYSE: FIX), CIK 0001035983</w:t>
      </w:r>
    </w:p>
    <w:p>
      <w:pPr>
        <w:spacing w:after="140"/>
      </w:pPr>
      <w:r>
        <w:t xml:space="preserve">Comfort Systems USA is a real, publicly traded, national mechanical/HVAC-services company — verified against SEC’s own company_tickers.json before use. It is not a small 10–99-employee target-band business itself; it is used as a real, independently reportable proxy for how HVAC/mechanical-services economics are disclosed publicly (insider trading activity, 8-Ks, quarterly/annual results), not as evidence about the target band directly.</w:t>
      </w:r>
    </w:p>
    <w:p>
      <w:pPr>
        <w:spacing w:after="140"/>
      </w:pPr>
      <w:r>
        <w:t xml:space="preserve">1,000 real filings retrieved. Real form-type breakdown (top entries):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Form type</w:t>
            </w:r>
          </w:p>
        </w:tc>
        <w:tc>
          <w:tcPr>
            <w:tcW w:type="dxa" w:w="14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516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558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Insider (officer/director) trading reports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8-K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163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Material corporate events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144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95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Proposed sale of restricted securities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 13G/A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Beneficial-ownership amendments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10-Q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41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Quarterly reports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DEF 14A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Proxy statements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10-K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Annual reports</w:t>
            </w:r>
          </w:p>
        </w:tc>
      </w:tr>
    </w:tbl>
    <w:p>
      <w:pPr>
        <w:pStyle w:val="Heading1"/>
        <w:spacing w:after="160" w:before="360"/>
      </w:pPr>
      <w:r>
        <w:t xml:space="preserve">12. SAM.gov — Federal Procurement Opportunities</w:t>
      </w:r>
    </w:p>
    <w:p>
      <w:pPr>
        <w:spacing w:after="140"/>
      </w:pPr>
      <w:r>
        <w:t xml:space="preserve">Source: SAM.gov Opportunities API (System for Award Management), real government contract solicitations/awards.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Query: NAICS 238220, most recent 25 real opportunities</w:t>
      </w:r>
    </w:p>
    <w:p>
      <w:pPr>
        <w:spacing w:after="140"/>
      </w:pPr>
      <w:r>
        <w:t xml:space="preserve">Real, representative examples retrieved: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“Air Handling Unit Replacement” — NOAA — real award $288,118.00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“QHAV and Dehumidification Equipment… Mexican Fruit Fly Eclosion Center, Reynosa, Mexico” — USDA APHIS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“Remove and replace commercial water heaters” — US Coast Guard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“Backflow Preventer Upgrades” — US Army</w:t>
      </w:r>
    </w:p>
    <w:p>
      <w:pPr>
        <w:spacing w:after="140"/>
      </w:pPr>
      <w:r>
        <w:t xml:space="preserve">This confirms real federal demand exists for NAICS-238220 work, but SAM.gov opportunities are federal-buyer solicitations — not a directory of the target band’s own 10–99-employee businesses, and were not used for M7 buyer-accessibility for that reason (see AUTONOMOUS-043).</w:t>
      </w:r>
    </w:p>
    <w:p>
      <w:pPr>
        <w:pStyle w:val="Heading1"/>
        <w:spacing w:after="160" w:before="360"/>
      </w:pPr>
      <w:r>
        <w:t xml:space="preserve">13. USAspending — Federal Contract Awards</w:t>
      </w:r>
    </w:p>
    <w:p>
      <w:pPr>
        <w:spacing w:after="140"/>
      </w:pPr>
      <w:r>
        <w:t xml:space="preserve">Source: USAspending.gov Award Search API (keyless), real historical federal contract awards.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Query: NAICS 238220, most recent 25 real awards, 2015–2026</w:t>
      </w:r>
    </w:p>
    <w:p>
      <w:pPr>
        <w:spacing w:after="140"/>
      </w:pPr>
      <w:r>
        <w:t xml:space="preserve">Real combined award value across all 25 records: $642,710,097.93. Top 5 real awards: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Recipient</w:t>
            </w:r>
          </w:p>
        </w:tc>
        <w:tc>
          <w:tcPr>
            <w:tcW w:type="dxa" w:w="19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190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Agency</w:t>
            </w:r>
          </w:p>
        </w:tc>
        <w:tc>
          <w:tcPr>
            <w:tcW w:type="dxa" w:w="2960"/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BLUEWAY ONE JV LLC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$48,924,250.74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Veterans Affairs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Replacement of boilers, Albany VAMC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QCM, INC.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$41,921,348.61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Dept. of Defense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Pentagon heating &amp; refrigeration plant ops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CONSIGLI CONSTRUCTION CO.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$40,917,263.00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GSA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HVAC construction management (CMC)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HASKELL CORP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$39,321,248.41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Dept. of Defense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Construct CHPP turbine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PIEDMONT NATURAL GAS CO.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$36,028,247.00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Dept. of Defense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8"/>
                <w:szCs w:val="18"/>
              </w:rPr>
              <w:t xml:space="preserve">Utility energy services contract</w:t>
            </w:r>
          </w:p>
        </w:tc>
      </w:tr>
    </w:tbl>
    <w:p>
      <w:pPr>
        <w:spacing w:after="140"/>
      </w:pPr>
      <w:r>
        <w:t xml:space="preserve">These are large federal/institutional HVAC contracts — real evidence of federal-sector demand at a scale far above a typical 10–99-employee residential/commercial contractor, useful as market-context color, not as a target-band economic input.</w:t>
      </w:r>
    </w:p>
    <w:p>
      <w:pPr>
        <w:pStyle w:val="Heading1"/>
        <w:spacing w:after="160" w:before="360"/>
      </w:pPr>
      <w:r>
        <w:t xml:space="preserve">14. YouTube — Market &amp; Competitor Discovery Search</w:t>
      </w:r>
    </w:p>
    <w:p>
      <w:pPr>
        <w:spacing w:after="140"/>
      </w:pPr>
      <w:r>
        <w:t xml:space="preserve">Source: YouTube Data API v3 search.list (real, keyed, quota-metered).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Query: “HVAC dispatch software” — 15 real videos found, 100 quota units used</w:t>
      </w:r>
    </w:p>
    <w:p>
      <w:pPr>
        <w:spacing w:after="140"/>
      </w:pPr>
      <w:r>
        <w:t xml:space="preserve">Real video titles retrieved include named, real competitor tools — independently corroborating AUTONOMOUS-043’s M5 finding (Jobber, Sameday AI) from the separate 600-comment M2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“Best HVAC Dispatch Software in 2026? 6 Tools Compared”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“7 Best HVAC Scheduling Software: Find the Right Tool for Your Team”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“Best HVAC Dispatch Software in 2026: Jobber vs Housecall Pro vs FieldEdge”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“Dispatch Software for HVAC and Plumbers”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“HVAC Business: switching dispatch software”</w:t>
      </w:r>
    </w:p>
    <w:p>
      <w:pPr>
        <w:spacing w:after="140"/>
      </w:pPr>
      <w:r>
        <w:t xml:space="preserve">This single-query, 15-video pull is a discovery pass, not the full 600-comment M2 evidence corpus (13 queries, 1,409 real comments) already reported separately.</w:t>
      </w:r>
    </w:p>
    <w:p>
      <w:pPr>
        <w:pStyle w:val="Heading1"/>
        <w:spacing w:after="160" w:before="360"/>
      </w:pPr>
      <w:r>
        <w:t xml:space="preserve">15. Sources Explicitly Skipped (Real Reasons, Not Silent Gaps)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BEA Regional — requires a specific target region; us_hvac_10_99’s geography.regions is intentionally empty until real state/metro discovery (AUTONOMOUS-035) selects one — the owner explicitly forbade hand-picking a region.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Common Crawl — requires one already policy-reviewed target URL (docs/SCRAPING_POLICY.md §4); no HVAC-industry URL has completed that review yet. A real, specific lead exists (Jobber’s own pricing page, named in real M2/M5 evidence) but registering it is a real, not-yet-done next step (AUTONOMOUS-041).</w:t>
      </w:r>
    </w:p>
    <w:p>
      <w:pPr>
        <w:pStyle w:val="Heading1"/>
        <w:spacing w:after="160" w:before="360"/>
      </w:pPr>
      <w:r>
        <w:t xml:space="preserve">16. Reproducibility (All Sources)</w:t>
      </w:r>
    </w:p>
    <w:p>
      <w:pPr>
        <w:spacing w:after="140"/>
      </w:pPr>
      <w:r>
        <w:t xml:space="preserve">Part A (Census / M1 score):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cd apps/api &amp;&amp; uv run python ../../scripts/run_census_m1.py</w:t>
      </w:r>
    </w:p>
    <w:p>
      <w:pPr>
        <w:spacing w:after="140"/>
      </w:pPr>
      <w:r>
        <w:t xml:space="preserve">Part B (BLS, SEC EDGAR, SAM.gov, USAspending, YouTube, BEA/Common Crawl skip status):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cd apps/api &amp;&amp; uv run python ../../scripts/ingest_us_hvac_10_99.py</w:t>
      </w:r>
    </w:p>
    <w:p>
      <w:pPr>
        <w:spacing w:after="140"/>
      </w:pPr>
      <w:r>
        <w:t xml:space="preserve">Both scripts write every real raw API response to outputs/runs/&lt;run&gt;/raw/ for independent inspection, and require only free/keyless or already-configured API credentials (MASK_CENSUS_API_KEY, MASK_BLS_API_KEY [optional, raises rate limits], MASK_SAM_API_KEY, MASK_youtube_API_KEY, MASK_OFFICIAL_CONTACT_EMAIL).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0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MASK AI — us_hvac_10_99 Stage A</w:t>
    </w:r>
    <w:r>
      <w:rPr>
        <w:color w:val="666666"/>
        <w:sz w:val="16"/>
        <w:szCs w:val="16"/>
      </w:rPr>
      <w:t xml:space="preserve">	M1 Source &amp; Methodology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/>
    </w:pPr>
    <w:rPr>
      <w:rFonts w:ascii="Calibri" w:cs="Calibri" w:eastAsia="Calibri" w:hAnsi="Calibri"/>
      <w:b/>
      <w:bCs/>
      <w:color w:val="1F3B57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60"/>
    </w:pPr>
    <w:rPr>
      <w:rFonts w:ascii="Calibri" w:cs="Calibri" w:eastAsia="Calibri" w:hAnsi="Calibri"/>
      <w:b/>
      <w:bCs/>
      <w:color w:val="1F3B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2026-09-14T19:03:16.017Z</dcterms:created>
  <dcterms:modified xsi:type="dcterms:W3CDTF">2026-09-14T19:03:16.019Z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