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MASK AI MARKET INTELLIGENCE — STAGE A CALIBRATION DOSSIER</w:t>
      </w:r>
    </w:p>
    <w:p>
      <w:pPr>
        <w:spacing w:after="80"/>
      </w:pPr>
      <w:r>
        <w:rPr>
          <w:b/>
          <w:bCs/>
          <w:color w:val="1F3B57"/>
          <w:sz w:val="40"/>
          <w:szCs w:val="40"/>
        </w:rPr>
        <w:t xml:space="preserve">M1 — Source &amp; Methodology Report</w:t>
      </w:r>
    </w:p>
    <w:p>
      <w:pPr>
        <w:spacing w:after="40"/>
      </w:pPr>
      <w:r>
        <w:rPr>
          <w:sz w:val="22"/>
          <w:szCs w:val="22"/>
        </w:rPr>
        <w:t xml:space="preserve">Market: us_hvac_10_99 — United States HVAC contractors, 10–99 employees (NAICS 238220)</w:t>
      </w:r>
    </w:p>
    <w:p>
      <w:pPr>
        <w:spacing w:after="260"/>
      </w:pPr>
      <w:r>
        <w:rPr>
          <w:i/>
          <w:iCs/>
          <w:color w:val="666666"/>
          <w:sz w:val="18"/>
          <w:szCs w:val="18"/>
        </w:rPr>
        <w:t xml:space="preserve">Generated 2026-09-14 · Reproducible via scripts/run_census_m1.py</w:t>
      </w:r>
    </w:p>
    <w:p>
      <w:pPr>
        <w:pBdr>
          <w:bottom w:val="single" w:color="1F3B57" w:sz="8" w:space="4"/>
        </w:pBdr>
        <w:spacing w:after="200"/>
      </w:pPr>
      <w:r>
        <w:t xml:space="preserve"/>
      </w:r>
    </w:p>
    <w:p>
      <w:pPr>
        <w:pStyle w:val="Heading1"/>
        <w:spacing w:after="160" w:before="360"/>
      </w:pPr>
      <w:r>
        <w:t xml:space="preserve">1. Result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M1 Score</w:t>
            </w:r>
          </w:p>
        </w:tc>
        <w:tc>
          <w:tcPr>
            <w:tcW w:type="dxa" w:w="312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Weight in Overall System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6.34 / 10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COMPLETE — all 5 components observed, none missing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 (M1 of 10 methods, M1–M10)</w:t>
            </w:r>
          </w:p>
        </w:tc>
      </w:tr>
    </w:tbl>
    <w:p>
      <w:pPr>
        <w:spacing w:after="140" w:before="200"/>
      </w:pPr>
      <w:r>
        <w:rPr>
          <w:i/>
          <w:iCs/>
          <w:color w:val="666666"/>
          <w:sz w:val="20"/>
          <w:szCs w:val="20"/>
        </w:rPr>
        <w:t xml:space="preserve">This is M1’s own real, deterministic method score — not the market’s overall Automated Research Score, which also needs M2–M10 and is separately labeled PROVISIONAL until enough methods carry real evidence (see docs/SCORING.md).</w:t>
      </w:r>
    </w:p>
    <w:p>
      <w:pPr>
        <w:spacing w:after="140"/>
      </w:pPr>
      <w:r>
        <w:t xml:space="preserve">Every input to this score is a real, observed value from the U.S. Census Bureau’s County Business Patterns (CBP) API — nothing was estimated, inferred, or supplied by an AI model. Gemini and other language models never touch M1: it is a fully deterministic calculation over government statistics.</w:t>
      </w:r>
    </w:p>
    <w:p>
      <w:pPr>
        <w:pStyle w:val="Heading1"/>
        <w:spacing w:after="160" w:before="360"/>
      </w:pPr>
      <w:r>
        <w:t xml:space="preserve">2. What M1 Measures</w:t>
      </w:r>
    </w:p>
    <w:p>
      <w:pPr>
        <w:spacing w:after="140"/>
      </w:pPr>
      <w:r>
        <w:t xml:space="preserve">M1 (“Quantitative Market Analysis”) asks: is this a real, large-enough, sufficiently fragmented, economically capable, growing market, concentrated in the exact company-size band MASK AI would sell into? It combines five components, each drawn from the same Census dataset so they describe the same real population consistently: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buyer_pool — how many real target-band businesses exist (serviceable_businesses)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target_band_match — what share of the whole industry falls inside the target band (target_band_share)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economic_capacity — real average annual payroll per target-band establishment, a proxy for ability to pay (annual_payroll_per_serviceable_establishment_usd)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fragmentation — share of industry employment held by establishments under 100 employees, i.e. how fragmented (vs. dominated by a few large players) the industry is (fragmentation_share)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— the target band’s real 5-year establishment-count CAGR (growth_cagr)</w:t>
      </w:r>
    </w:p>
    <w:p>
      <w:pPr>
        <w:pStyle w:val="Heading1"/>
        <w:spacing w:after="160" w:before="360"/>
      </w:pPr>
      <w:r>
        <w:t xml:space="preserve">3. Real Data Source</w:t>
      </w:r>
    </w:p>
    <w:p>
      <w:pPr>
        <w:pStyle w:val="Heading2"/>
        <w:spacing w:after="120" w:before="260"/>
      </w:pPr>
      <w:r>
        <w:t xml:space="preserve">3.1 Source</w:t>
      </w:r>
    </w:p>
    <w:p>
      <w:pPr>
        <w:spacing w:after="140"/>
      </w:pPr>
      <w:r>
        <w:t xml:space="preserve">U.S. Census Bureau — County Business Patterns (CBP) API, the government’s own annual establishment-level economic census by industry, geography, and employment-size class.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Endpoint:  https://api.census.gov/data/{year}/cbp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Fields:    NAME, NAICS2017, EMPSZES, ESTAB, EMP, PAYANN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NAICS:     238220  (Plumbing, Heating, and Air-Conditioning Contractors)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Geography: us:*  (United States, national total)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Years:     2022 (current) and 2017 (comparison, for the 5-year CAGR)</w:t>
      </w:r>
    </w:p>
    <w:p>
      <w:pPr>
        <w:spacing w:after="140"/>
      </w:pPr>
      <w:r>
        <w:t xml:space="preserve">Retrieved live via mask_api.modules.official_data.census_cbp_request, an existing, tested adapter — not scraped or manually entered. This run made 9 real API requests totaling 2,109 bytes and is fully reproducible with: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uv run python scripts/run_census_m1.py</w:t>
      </w:r>
    </w:p>
    <w:p>
      <w:pPr>
        <w:pStyle w:val="Heading2"/>
        <w:spacing w:after="120" w:before="260"/>
      </w:pPr>
      <w:r>
        <w:t xml:space="preserve">3.2 Employment-size bands used</w:t>
      </w:r>
    </w:p>
    <w:p>
      <w:pPr>
        <w:spacing w:after="140"/>
      </w:pPr>
      <w:r>
        <w:t xml:space="preserve">Census CBP reports establishment counts, employment, and payroll by a fixed set of employment-size class codes. The market’s company band (10–99 employees) is covered by exactly three of them: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EMPSZES 230 = 10–19 employees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EMPSZES 241 = 20–49 employees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EMPSZES 242 = 50–99 employees</w:t>
      </w:r>
    </w:p>
    <w:p>
      <w:pPr>
        <w:spacing w:after="140"/>
      </w:pPr>
      <w:r>
        <w:t xml:space="preserve">EMPSZES 001 (all establishment sizes) and every band under 100 employees (210, 220, 230, 241, 242) were also pulled, to compute target_band_match and fragmentation against the real, same-year industry totals.</w:t>
      </w:r>
    </w:p>
    <w:p>
      <w:pPr>
        <w:pStyle w:val="Heading1"/>
        <w:spacing w:after="160" w:before="360"/>
      </w:pPr>
      <w:r>
        <w:t xml:space="preserve">4. Real Raw Data Retrieved</w:t>
      </w:r>
    </w:p>
    <w:p>
      <w:pPr>
        <w:pStyle w:val="Heading2"/>
        <w:spacing w:after="120" w:before="260"/>
      </w:pPr>
      <w:r>
        <w:t xml:space="preserve">4.1 2022 (current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EMPSZES band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ESTAB (establishments)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 (employment)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PAYANN ($1,000s)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001 (all sizes)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109,601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1,176,759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82,235,079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210 (1-4 emp.)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63,898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109,898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6,013,309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220 (5-9 emp.)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20,550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135,440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7,241,010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 (10-19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12,938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174,215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10,639,781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241 (20-49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8,184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246,142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17,099,128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242 (50-99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2,495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172,279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13,026,493</w:t>
            </w:r>
          </w:p>
        </w:tc>
      </w:tr>
    </w:tbl>
    <w:p>
      <w:pPr>
        <w:spacing w:after="160" w:before="160"/>
      </w:pPr>
      <w:r>
        <w:rPr>
          <w:i/>
          <w:iCs/>
          <w:color w:val="666666"/>
          <w:sz w:val="18"/>
          <w:szCs w:val="18"/>
        </w:rPr>
        <w:t xml:space="preserve">PAYANN is Census’s own unit: annual payroll in thousands of dollars.</w:t>
      </w:r>
    </w:p>
    <w:p>
      <w:pPr>
        <w:pStyle w:val="Heading2"/>
        <w:spacing w:after="120" w:before="260"/>
      </w:pPr>
      <w:r>
        <w:t xml:space="preserve">4.2 2017 (comparison year, target band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EMPSZES band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ESTAB (establishments)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 (employment)</w:t>
            </w:r>
          </w:p>
        </w:tc>
        <w:tc>
          <w:tcPr>
            <w:tcW w:type="dxa" w:w="21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PAYANN ($1,000s)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 (10-19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11,825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159,540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8,322,574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241 (20-49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7,204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216,462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12,795,503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242 (50-99 emp.) — target band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2,105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142,690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9,270,028</w:t>
            </w:r>
          </w:p>
        </w:tc>
      </w:tr>
    </w:tbl>
    <w:p>
      <w:pPr>
        <w:pStyle w:val="Heading1"/>
        <w:spacing w:after="160" w:before="360"/>
      </w:pPr>
      <w:r>
        <w:t xml:space="preserve">5. Component-by-Component Calculation</w:t>
      </w:r>
    </w:p>
    <w:p>
      <w:pPr>
        <w:spacing w:after="140"/>
      </w:pPr>
      <w:r>
        <w:t xml:space="preserve">Each component follows configs/formulas/v1.yaml’s approved v1 M1 formula exactly: a raw value computed from the real Census numbers above, mapped to a 0–10 sub-score by an approved transform with fixed calibration bounds, then multiplied by its approved weight.</w:t>
      </w:r>
    </w:p>
    <w:p>
      <w:pPr>
        <w:pStyle w:val="Heading2"/>
        <w:spacing w:after="120" w:before="260"/>
      </w:pPr>
      <w:r>
        <w:t xml:space="preserve">5.1 buyer_pool — weight 0.30</w:t>
      </w:r>
    </w:p>
    <w:p>
      <w:pPr>
        <w:spacing w:after="140"/>
      </w:pPr>
      <w:r>
        <w:t xml:space="preserve">Real establishments in the target band (sum of EMPSZES 230+241+242, 2022):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12,938 + 8,184 + 2,495 = 23,617 establishments</w:t>
      </w:r>
    </w:p>
    <w:p>
      <w:pPr>
        <w:spacing w:after="140"/>
      </w:pPr>
      <w:r>
        <w:t xml:space="preserve">Transform: log_scale(value, low=500, high=100,000) — a logarithmic 0–10 map, calibrated so 500 real target-band establishments floors at 0 and 100,000 caps at 10.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log_scale(23,617; 500; 100,000) = 10 × (ln 23,617 − ln 500) / (ln 100,000 − ln 500) = 7.2761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Weighted contribution: 7.2761 × 0.30 = 2.1828</w:t>
      </w:r>
    </w:p>
    <w:p>
      <w:pPr>
        <w:pStyle w:val="Heading2"/>
        <w:spacing w:after="120" w:before="260"/>
      </w:pPr>
      <w:r>
        <w:t xml:space="preserve">5.2 growth — weight 0.20</w:t>
      </w:r>
    </w:p>
    <w:p>
      <w:pPr>
        <w:spacing w:after="140"/>
      </w:pPr>
      <w:r>
        <w:t xml:space="preserve">Real target-band establishment count, 2017 vs. 2022: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2017: 11,825 + 7,204 + 2,105 = 21,134 establishments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2022: 12,938 + 8,184 + 2,495 = 23,617 establishments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5-yr CAGR = (23,617 / 21,134)^(1/5) − 1 = 0.022465  (≈2.25% per year)</w:t>
      </w:r>
    </w:p>
    <w:p>
      <w:pPr>
        <w:spacing w:after="140"/>
      </w:pPr>
      <w:r>
        <w:t xml:space="preserve">Transform: linear(value, low=−0.05, high=0.10) — a straight 0–10 map where a 5% annual decline floors at 0 and a 10% annual rate of growth caps at 10.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linear(0.022465; −0.05; 0.10) = 10 × (0.022465 − (−0.05)) / (0.10 − (−0.05)) = 4.8310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Weighted contribution: 4.8310 × 0.20 = 0.9662</w:t>
      </w:r>
    </w:p>
    <w:p>
      <w:pPr>
        <w:pStyle w:val="Heading2"/>
        <w:spacing w:after="120" w:before="260"/>
      </w:pPr>
      <w:r>
        <w:t xml:space="preserve">5.3 fragmentation — weight 0.15</w:t>
      </w:r>
    </w:p>
    <w:p>
      <w:pPr>
        <w:spacing w:after="140"/>
      </w:pPr>
      <w:r>
        <w:t xml:space="preserve">Real 2022 employment held by every establishment size band under 100 employees, divided by real total industry employment (EMPSZES 001):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(109,898 + 135,440 + 174,215 + 246,142 + 172,279) / 1,176,759 = 837,974 / 1,176,759 = 0.712103</w:t>
      </w:r>
    </w:p>
    <w:p>
      <w:pPr>
        <w:spacing w:after="140"/>
      </w:pPr>
      <w:r>
        <w:t xml:space="preserve">Transform: linear(value, low=0.30, high=0.90) — 30% of employment in sub-100-employee firms floors at 0, 90% caps at 10 (higher = more fragmented, i.e. no dominant large incumbents).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linear(0.712103; 0.30; 0.90) = 10 × (0.712103 − 0.30) / (0.90 − 0.30) = 6.8684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Weighted contribution: 6.8684 × 0.15 = 1.0303</w:t>
      </w:r>
    </w:p>
    <w:p>
      <w:pPr>
        <w:pStyle w:val="Heading2"/>
        <w:spacing w:after="120" w:before="260"/>
      </w:pPr>
      <w:r>
        <w:t xml:space="preserve">5.4 economic_capacity — weight 0.20</w:t>
      </w:r>
    </w:p>
    <w:p>
      <w:pPr>
        <w:spacing w:after="140"/>
      </w:pPr>
      <w:r>
        <w:t xml:space="preserve">Real 2022 target-band payroll divided by real target-band establishments: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Payroll: 10,639,781 + 17,099,128 + 13,026,493 = 40,765,402 (×$1,000) = $40,765,402,000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$40,765,402,000 / 23,617 establishments = $1,726,104 / establishment</w:t>
      </w:r>
    </w:p>
    <w:p>
      <w:pPr>
        <w:spacing w:after="140"/>
      </w:pPr>
      <w:r>
        <w:t xml:space="preserve">Transform: log_scale(value, low=100,000, high=5,000,000) — $100K/establishment floors at 0, $5M/establishment caps at 10.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log_scale($1,726,104; $100,000; $5,000,000) = 7.2813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Weighted contribution: 7.2813 × 0.20 = 1.4563</w:t>
      </w:r>
    </w:p>
    <w:p>
      <w:pPr>
        <w:pStyle w:val="Heading2"/>
        <w:spacing w:after="120" w:before="260"/>
      </w:pPr>
      <w:r>
        <w:t xml:space="preserve">5.5 target_band_match — weight 0.15</w:t>
      </w:r>
    </w:p>
    <w:p>
      <w:pPr>
        <w:spacing w:after="140"/>
      </w:pPr>
      <w:r>
        <w:t xml:space="preserve">Real target-band establishments divided by real all-size-band establishments (EMPSZES 001), same NAICS/year: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23,617 / 109,601 = 0.215482  (≈21.5% of the whole industry is in the 10–99-employee band)</w:t>
      </w:r>
    </w:p>
    <w:p>
      <w:pPr>
        <w:spacing w:after="140"/>
      </w:pPr>
      <w:r>
        <w:t xml:space="preserve">Transform: linear(value, low=0.05, high=0.40) — 5% of the industry in-band floors at 0, 40% caps at 10.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linear(0.215482; 0.05; 0.40) = 10 × (0.215482 − 0.05) / (0.40 − 0.05) = 4.7280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Weighted contribution: 4.7280 × 0.15 = 0.7092</w:t>
      </w:r>
    </w:p>
    <w:p>
      <w:pPr>
        <w:pStyle w:val="Heading1"/>
        <w:spacing w:after="160" w:before="360"/>
      </w:pPr>
      <w:r>
        <w:t xml:space="preserve">6. Final Aggregation</w:t>
      </w:r>
    </w:p>
    <w:p>
      <w:pPr>
        <w:spacing w:after="140"/>
      </w:pPr>
      <w:r>
        <w:t xml:space="preserve">v1 M1 aggregation (configs/formulas/v1.yaml): weighted_sum, expression 0.30×B + 0.20×G + 0.15×F + 0.20×E + 0.15×T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200"/>
        <w:gridCol w:w="900"/>
        <w:gridCol w:w="1440"/>
      </w:tblGrid>
      <w:tr>
        <w:trPr>
          <w:tblHeader/>
        </w:trPr>
        <w:tc>
          <w:tcPr>
            <w:tcW w:type="dxa" w:w="234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Raw value (real)</w:t>
            </w:r>
          </w:p>
        </w:tc>
        <w:tc>
          <w:tcPr>
            <w:tcW w:type="dxa" w:w="234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  <w:tc>
          <w:tcPr>
            <w:tcW w:type="dxa" w:w="12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0–10 score</w:t>
            </w:r>
          </w:p>
        </w:tc>
        <w:tc>
          <w:tcPr>
            <w:tcW w:type="dxa" w:w="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4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buyer_pool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23,617 establishments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log_scale(500, 100,000)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7.2761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2.1828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0.022465 (2.25%/yr CAGR)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linear(-0.05, 0.10)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4.8310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0.9662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0.712103 (71.2% share)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linear(0.30, 0.90)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6.8684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1.0303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economic_capacity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$1,726,104 / establishment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log_scale(100,000, 5,000,000)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7.2813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1.4563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target_band_match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0.215482 (21.5% share)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linear(0.05, 0.40)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4.7280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0.7092</w:t>
            </w:r>
          </w:p>
        </w:tc>
      </w:tr>
    </w:tbl>
    <w:p>
      <w:pPr>
        <w:spacing w:after="60" w:before="220"/>
      </w:pPr>
      <w:r>
        <w:rPr>
          <w:b/>
          <w:bCs/>
          <w:color w:val="1F3B57"/>
          <w:sz w:val="24"/>
          <w:szCs w:val="24"/>
        </w:rPr>
        <w:t xml:space="preserve">2.1828 + 0.9662 + 1.0303 + 1.4563 + 0.7092 = 6.3448  →  M1 = 6.34 / 10</w:t>
      </w:r>
    </w:p>
    <w:p>
      <w:pPr>
        <w:spacing w:after="140"/>
      </w:pPr>
      <w:r>
        <w:t xml:space="preserve">(clamp10 has no effect here since the raw sum already falls inside 0–10; it exists as a safety bound for cases where it wouldn’t.)</w:t>
      </w:r>
    </w:p>
    <w:p>
      <w:pPr>
        <w:pStyle w:val="Heading1"/>
        <w:spacing w:after="160" w:before="360"/>
      </w:pPr>
      <w:r>
        <w:t xml:space="preserve">7.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Formula version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v1 (configs/formulas/v1.yaml, unmodified)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COMPLETE — required_all (serviceable_businesses) present; all 4 optional components present (≥ 3 required)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Observation state (all 5 inputs)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OBSERVED — real government data, nothing estimated or inferred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Missing / unknown components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Inputs SHA-256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ceba3b87734067c01d57a3a1796e367e08857868c97f358f3c9f63483ef70da3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model involvement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None — M1 is 100% deterministic backend calculation over Census data</w:t>
            </w:r>
          </w:p>
        </w:tc>
      </w:tr>
    </w:tbl>
    <w:p>
      <w:pPr>
        <w:pStyle w:val="Heading2"/>
        <w:spacing w:after="120" w:before="260"/>
      </w:pPr>
      <w:r>
        <w:t xml:space="preserve">Evidence references (one per component)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census_cbp:2022:NAICS238220:EMPSZES=230+241+242:ESTAB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census_cbp:2017-&gt;2022:NAICS238220:EMPSZES=230+241+242:ESTAB_cagr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census_cbp:2022:NAICS238220:employment_under_100_employees_share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census_cbp:2022:NAICS238220:EMPSZES=230+241+242:PAYANN_per_ESTAB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census_cbp:2022:NAICS238220:EMPSZES=230+241+242_over_001:ESTAB_share</w:t>
      </w:r>
    </w:p>
    <w:p>
      <w:pPr>
        <w:pStyle w:val="Heading1"/>
        <w:spacing w:after="160" w:before="360"/>
      </w:pPr>
      <w:r>
        <w:t xml:space="preserve">8. Limitations &amp; Caveats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NAICS 238220 (“Plumbing, Heating, and Air-Conditioning Contractors”) is the closest official industry code; it is broader than “HVAC only” (it also includes plumbing-only contractors classified here) and this is a real, inherent proxy limitation of using NAICS, not a data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Census CBP counts establishments (physical business locations), not necessarily distinct legal companies — a multi-location company counts once per 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national (US-wide) figure; no region has been selected yet. Regional analysis is a separate, later step (state/metro discovery already run once in this project, see AUTONOMOUS-035).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 is only one of ten methods and is 10% of the overall system weight. A high M1 score describes market size/scale/growth — it says nothing about real pain, workflow, competition, or buyer accessibility, which are M2–M7.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score will not change on its own: Census CBP is an annual release. It should be recomputed when Census publishes a newer vintage (this run used the 2022 release, the latest available).</w:t>
      </w:r>
    </w:p>
    <w:p>
      <w:pPr>
        <w:pStyle w:val="Heading1"/>
        <w:spacing w:after="160" w:before="360"/>
      </w:pPr>
      <w:r>
        <w:t xml:space="preserve">9. Reproducibility</w:t>
      </w:r>
    </w:p>
    <w:p>
      <w:pPr>
        <w:spacing w:after="140"/>
      </w:pPr>
      <w:r>
        <w:t xml:space="preserve">This entire report can be regenerated from a clean checkout by anyone with a free Census API key: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1. Set MASK_CENSUS_API_KEY in .env.official.local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2. cd apps/api &amp;&amp; uv run python ../../scripts/run_census_m1.py</w:t>
      </w:r>
    </w:p>
    <w:p>
      <w:pPr>
        <w:spacing w:after="140"/>
      </w:pPr>
      <w:r>
        <w:t xml:space="preserve">The script prints the exact JSON payload this report is built from, and writes the 9 real raw Census API responses to outputs/runs/m1_census_&lt;timestamp&gt;/raw/official_data/census_cbp/ for independent inspection.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MASK AI — us_hvac_10_99 Stage A</w:t>
    </w:r>
    <w:r>
      <w:rPr>
        <w:color w:val="666666"/>
        <w:sz w:val="16"/>
        <w:szCs w:val="16"/>
      </w:rPr>
      <w:t xml:space="preserve">	M1 Source &amp;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1F3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2026-09-14T18:55:15.878Z</dcterms:created>
  <dcterms:modified xsi:type="dcterms:W3CDTF">2026-09-14T18:55:15.879Z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