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№12</w:t>
      </w:r>
      <w:r>
        <w:br/>
      </w:r>
      <w:r>
        <w:t xml:space="preserve">“</w:t>
      </w:r>
      <w:r>
        <w:t xml:space="preserve">Программирование в командном</w:t>
      </w:r>
      <w:r>
        <w:t xml:space="preserve"> </w:t>
      </w:r>
      <w:r>
        <w:t xml:space="preserve">процессоре ОС UNIX. Расширенное программирование</w:t>
      </w:r>
      <w:r>
        <w:t xml:space="preserve">”</w:t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28.05.2022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Москва 2022</w:t>
      </w:r>
      <w:r>
        <w:br/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  <w:r>
        <w:br/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</w:t>
      </w:r>
      <w:r>
        <w:br/>
      </w:r>
      <w:r>
        <w:t xml:space="preserve">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br/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br/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br/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br/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br/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br/>
      </w:r>
      <w:r>
        <w:t xml:space="preserve">POSIX-совместимые оболочки разработаны на базе оболочки Корна.</w:t>
      </w:r>
      <w:r>
        <w:br/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  <w:r>
        <w:br/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3785244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Выполняем скрипт</w:t>
      </w:r>
      <w:r>
        <w:br/>
      </w:r>
      <w:r>
        <w:drawing>
          <wp:inline>
            <wp:extent cx="5334000" cy="4015567"/>
            <wp:effectExtent b="0" l="0" r="0" t="0"/>
            <wp:docPr descr="Выполняем скрипт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3785244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Выполняем скрипт</w:t>
      </w:r>
      <w:r>
        <w:br/>
      </w:r>
      <w:r>
        <w:drawing>
          <wp:inline>
            <wp:extent cx="5334000" cy="4015567"/>
            <wp:effectExtent b="0" l="0" r="0" t="0"/>
            <wp:docPr descr="Выполняем скрипт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3785244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Выполняем скрипт</w:t>
      </w:r>
      <w:r>
        <w:br/>
      </w:r>
      <w:r>
        <w:drawing>
          <wp:inline>
            <wp:extent cx="5334000" cy="4015567"/>
            <wp:effectExtent b="0" l="0" r="0" t="0"/>
            <wp:docPr descr="Выполняем скрипт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научился писать более сложные командные файлы с использованием логических управляющих конструкций и циклов.</w:t>
      </w:r>
      <w:r>
        <w:br/>
      </w:r>
    </w:p>
    <w:bookmarkEnd w:id="29"/>
    <w:bookmarkStart w:id="3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2022-05-28T10:55:24Z</dcterms:created>
  <dcterms:modified xsi:type="dcterms:W3CDTF">2022-05-28T10:55:24Z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