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ind w:firstLine="0"/>
        <w:jc w:val="center"/>
      </w:pPr>
      <w:r>
        <w:rPr>
          <w:rFonts w:ascii="Times New Roman" w:hAnsi="Times New Roman" w:eastAsia="Times New Roman"/>
          <w:b/>
          <w:i w:val="0"/>
          <w:sz w:val="28"/>
        </w:rPr>
        <w:t>Diseño de un agente de soporte con LLM y RAG</w:t>
      </w:r>
    </w:p>
    <w:p>
      <w:pPr>
        <w:spacing w:after="20" w:before="0" w:line="240" w:lineRule="auto"/>
        <w:ind w:firstLine="0"/>
        <w:jc w:val="center"/>
      </w:pPr>
      <w:r>
        <w:rPr>
          <w:rFonts w:ascii="Times New Roman" w:hAnsi="Times New Roman" w:eastAsia="Times New Roman"/>
          <w:b w:val="0"/>
          <w:i/>
          <w:sz w:val="24"/>
        </w:rPr>
        <w:t>Caso VerifiPay SpA</w:t>
      </w:r>
    </w:p>
    <w:p>
      <w:pPr>
        <w:spacing w:after="120" w:before="0" w:line="240" w:lineRule="auto"/>
        <w:ind w:firstLine="0"/>
        <w:jc w:val="center"/>
      </w:pPr>
      <w:r>
        <w:rPr>
          <w:rFonts w:ascii="Times New Roman" w:hAnsi="Times New Roman" w:eastAsia="Times New Roman"/>
          <w:b w:val="0"/>
          <w:i w:val="0"/>
          <w:sz w:val="22"/>
        </w:rPr>
        <w:t>Pablo Gutiérrez  ·  ISY0101 Ingeniería de Soluciones con Inteligencia Artificial</w:t>
        <w:br/>
        <w:t>Evaluación Parcial N°1  ·  Septiembre de 2026</w:t>
      </w:r>
    </w:p>
    <w:p>
      <w:pPr>
        <w:spacing w:after="60" w:before="160" w:line="240" w:lineRule="auto"/>
        <w:ind w:firstLine="0"/>
        <w:jc w:val="left"/>
      </w:pPr>
      <w:r>
        <w:rPr>
          <w:rFonts w:ascii="Times New Roman" w:hAnsi="Times New Roman" w:eastAsia="Times New Roman"/>
          <w:b/>
          <w:i w:val="0"/>
          <w:sz w:val="24"/>
        </w:rPr>
        <w:t>1. Análisis del caso organizacional</w:t>
      </w:r>
    </w:p>
    <w:p>
      <w:pPr>
        <w:spacing w:after="120" w:before="0" w:line="259" w:lineRule="auto"/>
        <w:ind w:firstLine="425"/>
        <w:jc w:val="both"/>
      </w:pPr>
      <w:r>
        <w:rPr>
          <w:rFonts w:ascii="Times New Roman" w:hAnsi="Times New Roman" w:eastAsia="Times New Roman"/>
          <w:b w:val="0"/>
          <w:i w:val="0"/>
          <w:sz w:val="24"/>
        </w:rPr>
        <w:t>VerifiPay SpA es una fintech ficticia chilena de medios de pago, con cerca de 85 colaboradores y 2.400 comercios afiliados. El soporte recibe alrededor de 350 consultas diarias sobre abonos, comisiones, errores de terminal, cumplimiento y estado de transacciones. La organización es simulada; el problema replica una carga habitual del rubro y fue el caso aprobado para esta evaluación.</w:t>
      </w:r>
    </w:p>
    <w:p>
      <w:pPr>
        <w:spacing w:after="120" w:before="0" w:line="259" w:lineRule="auto"/>
        <w:ind w:firstLine="425"/>
        <w:jc w:val="both"/>
      </w:pPr>
      <w:r>
        <w:rPr>
          <w:rFonts w:ascii="Times New Roman" w:hAnsi="Times New Roman" w:eastAsia="Times New Roman"/>
          <w:b w:val="0"/>
          <w:i w:val="0"/>
          <w:sz w:val="24"/>
        </w:rPr>
        <w:t>Las consultas mezclan tres dominios: el operativo (terminales, links de cobro y códigos de error), el comercial (comisiones y plazos de abono) y el normativo (Ley N° 19.628, lineamientos de la Comisión para el Mercado Financiero y PCI-DSS). Hoy un operador busca la respuesta en manuales y sistemas distintos. El resultado es una primera respuesta lenta, criterios que cambian según quién atiende y riesgo de error en plazos, montos o datos de tarjeta. Escalar tarde, cuando ya no hay evidencia, agrava el problema.</w:t>
      </w:r>
    </w:p>
    <w:p>
      <w:pPr>
        <w:spacing w:after="120" w:before="0" w:line="259" w:lineRule="auto"/>
        <w:ind w:firstLine="425"/>
        <w:jc w:val="both"/>
      </w:pPr>
      <w:r>
        <w:rPr>
          <w:rFonts w:ascii="Times New Roman" w:hAnsi="Times New Roman" w:eastAsia="Times New Roman"/>
          <w:b w:val="0"/>
          <w:i w:val="0"/>
          <w:sz w:val="24"/>
        </w:rPr>
        <w:t>La intervención fija cuatro metas. La primera respuesta debe ocurrir en 15 minutos o menos; en el prototipo el canal automático contesta en segundos. Al menos el 85 % de las respuestas debe traer una fuente verificable. Al menos el 40 % de las consultas frecuentes debe cerrarse sin un operador. Si la evidencia no alcanza, el sistema deriva a una persona. Las restricciones son citar la fuente, no inventar cifras, responder en español, no solicitar RUT completo, número de tarjeta ni CVV, y usar solo datos ficticios. Un chatbot genérico no cumple esas condiciones: hace falta recuperación documental, una regla de abstención y una consulta controlada al estado de la transacción.</w:t>
      </w:r>
    </w:p>
    <w:p>
      <w:pPr>
        <w:spacing w:after="60" w:before="160" w:line="240" w:lineRule="auto"/>
        <w:ind w:firstLine="0"/>
        <w:jc w:val="left"/>
      </w:pPr>
      <w:r>
        <w:rPr>
          <w:rFonts w:ascii="Times New Roman" w:hAnsi="Times New Roman" w:eastAsia="Times New Roman"/>
          <w:b/>
          <w:i w:val="0"/>
          <w:sz w:val="24"/>
        </w:rPr>
        <w:t>2. Formulación de prompts</w:t>
      </w:r>
    </w:p>
    <w:p>
      <w:pPr>
        <w:spacing w:after="120" w:before="0" w:line="259" w:lineRule="auto"/>
        <w:ind w:firstLine="425"/>
        <w:jc w:val="both"/>
      </w:pPr>
      <w:r>
        <w:rPr>
          <w:rFonts w:ascii="Times New Roman" w:hAnsi="Times New Roman" w:eastAsia="Times New Roman"/>
          <w:b w:val="0"/>
          <w:i w:val="0"/>
          <w:sz w:val="24"/>
        </w:rPr>
        <w:t>El prompt de sistema, en src/prompts.py, fija el rol de agente de soporte de comercios VerifiPay y siete reglas: español profesional; uso de herramientas antes de informar plazos, comisiones, errores o normativa; cita de la fuente; prohibición de inventar montos o procedimientos; prohibición de pedir RUT, PAN o CVV; consulta de la transacción cuando aparece un identificador; y escalamiento cuando no hay evidencia. El mismo prompt asocia cada tipo de consulta a una herramienta. Esa redacción ajusta la estructura al requerimiento informacional del caso: el rol corta respuestas genéricas y las reglas operan como control de contexto.</w:t>
      </w:r>
    </w:p>
    <w:p>
      <w:pPr>
        <w:spacing w:after="120" w:before="0" w:line="259" w:lineRule="auto"/>
        <w:ind w:firstLine="425"/>
        <w:jc w:val="both"/>
      </w:pPr>
      <w:r>
        <w:rPr>
          <w:rFonts w:ascii="Times New Roman" w:hAnsi="Times New Roman" w:eastAsia="Times New Roman"/>
          <w:b w:val="0"/>
          <w:i w:val="0"/>
          <w:sz w:val="24"/>
        </w:rPr>
        <w:t>Las descripciones de las herramientas hacen el enrutamiento. buscar_documentacion_interna cubre procedimientos, políticas, FAQ y tickets. buscar_normativa_externa cubre CMF, Ley 19.628 y PCI-DSS. consultar_estado_transaccion recibe un identificador como TX-20250908-002. No hay un clasificador aparte en el flujo de respuesta: el modelo elige la herramienta por function calling, y esa elección queda registrada. La temperatura es 0,1 para que las cifras varíen menos. Se recuperan tres fragmentos. La confianza se calcula como 1/(1 + distancia L2); bajo 0,35 la herramienta devuelve el mensaje de escalamiento y no un contexto débil. El FAQ aporta pares pregunta–respuesta que acercan la consulta del comercio al fragmento correcto.</w:t>
      </w:r>
    </w:p>
    <w:p>
      <w:pPr>
        <w:spacing w:after="60" w:before="160" w:line="240" w:lineRule="auto"/>
        <w:ind w:firstLine="0"/>
        <w:jc w:val="left"/>
      </w:pPr>
      <w:r>
        <w:rPr>
          <w:rFonts w:ascii="Times New Roman" w:hAnsi="Times New Roman" w:eastAsia="Times New Roman"/>
          <w:b/>
          <w:i w:val="0"/>
          <w:sz w:val="24"/>
        </w:rPr>
        <w:t>3. Diseño e implementación del pipeline RAG</w:t>
      </w:r>
    </w:p>
    <w:p>
      <w:pPr>
        <w:spacing w:after="120" w:before="0" w:line="259" w:lineRule="auto"/>
        <w:ind w:firstLine="425"/>
        <w:jc w:val="both"/>
      </w:pPr>
      <w:r>
        <w:rPr>
          <w:rFonts w:ascii="Times New Roman" w:hAnsi="Times New Roman" w:eastAsia="Times New Roman"/>
          <w:b w:val="0"/>
          <w:i w:val="0"/>
          <w:sz w:val="24"/>
        </w:rPr>
        <w:t>La generación aumentada por recuperación consulta una base antes de redactar y así reduce alucinaciones en tareas que dependen de un conocimiento concreto (Lewis et al., 2020). El pipeline separa fuentes internas y externas.</w:t>
      </w:r>
    </w:p>
    <w:p>
      <w:pPr>
        <w:spacing w:after="120" w:before="0" w:line="259" w:lineRule="auto"/>
        <w:ind w:firstLine="425"/>
        <w:jc w:val="both"/>
      </w:pPr>
      <w:r>
        <w:rPr>
          <w:rFonts w:ascii="Times New Roman" w:hAnsi="Times New Roman" w:eastAsia="Times New Roman"/>
          <w:b w:val="0"/>
          <w:i w:val="0"/>
          <w:sz w:val="24"/>
        </w:rPr>
        <w:t>La ingesta lee Markdown, el FAQ en JSON y los tickets en CSV, y guarda en cada documento el nombre del archivo y el tipo de corpus. RecursiveCharacterTextSplitter parte el texto en fragmentos de 350 caracteres con solapamiento de 50. Ese tamaño deja un procedimiento, como el error E-204, dentro de un fragmento, sin arrastrar la sección vecina. Los embeddings se obtienen con mistral-embed, el mismo proveedor del modelo de lenguaje, y se guardan en dos índices FAISS: uno interno y uno externo (Johnson et al., 2019). FAISS permite la búsqueda por similitud sin levantar un servidor adicional, lo que basta para el volumen académico.</w:t>
      </w:r>
    </w:p>
    <w:p>
      <w:pPr>
        <w:spacing w:after="120" w:before="0" w:line="259" w:lineRule="auto"/>
        <w:ind w:firstLine="425"/>
        <w:jc w:val="both"/>
      </w:pPr>
      <w:r>
        <w:rPr>
          <w:rFonts w:ascii="Times New Roman" w:hAnsi="Times New Roman" w:eastAsia="Times New Roman"/>
          <w:b w:val="0"/>
          <w:i w:val="0"/>
          <w:sz w:val="24"/>
        </w:rPr>
        <w:t>En la consulta, el agente elige el índice. La recuperación devuelve tres fragmentos con su archivo de origen. Ese contexto entra a mistral-small-latest, que redacta y cita. La API mock no pasa por el índice: es una función determinista sobre tres transacciones simuladas. Si el identificador no existe, la función lo dice y no completa el registro.</w:t>
      </w:r>
    </w:p>
    <w:tbl>
      <w:tblPr>
        <w:tblW w:type="auto" w:w="0"/>
        <w:tblLayout w:type="autofit"/>
        <w:tblLook w:firstColumn="1" w:firstRow="1" w:lastColumn="0" w:lastRow="0" w:noHBand="0" w:noVBand="1" w:val="04A0"/>
      </w:tblPr>
      <w:tblGrid>
        <w:gridCol w:w="3249"/>
        <w:gridCol w:w="3249"/>
        <w:gridCol w:w="3249"/>
      </w:tblGrid>
      <w:tr>
        <w:trPr>
          <w:cantSplit/>
        </w:trPr>
        <w:tc>
          <w:tcPr>
            <w:tcW w:type="dxa" w:w="3249"/>
            <w:shd w:fill="F4F9F9" w:val="clear"/>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i w:val="0"/>
                <w:color w:val="D6257F"/>
                <w:sz w:val="20"/>
              </w:rPr>
              <w:t>Corpus</w:t>
            </w:r>
          </w:p>
        </w:tc>
        <w:tc>
          <w:tcPr>
            <w:tcW w:type="dxa" w:w="3249"/>
            <w:shd w:fill="F4F9F9" w:val="clear"/>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i w:val="0"/>
                <w:color w:val="D6257F"/>
                <w:sz w:val="20"/>
              </w:rPr>
              <w:t>Archivos</w:t>
            </w:r>
          </w:p>
        </w:tc>
        <w:tc>
          <w:tcPr>
            <w:tcW w:type="dxa" w:w="3249"/>
            <w:shd w:fill="F4F9F9" w:val="clear"/>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i w:val="0"/>
                <w:color w:val="D6257F"/>
                <w:sz w:val="20"/>
              </w:rPr>
              <w:t>Uso</w:t>
            </w:r>
          </w:p>
        </w:tc>
      </w:tr>
      <w:tr>
        <w:trPr>
          <w:cantSplit/>
        </w:trPr>
        <w:tc>
          <w:tcPr>
            <w:tcW w:type="dxa" w:w="3249"/>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val="0"/>
                <w:i w:val="0"/>
                <w:sz w:val="20"/>
              </w:rPr>
              <w:t>Interno</w:t>
            </w:r>
          </w:p>
        </w:tc>
        <w:tc>
          <w:tcPr>
            <w:tcW w:type="dxa" w:w="3249"/>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val="0"/>
                <w:i w:val="0"/>
                <w:sz w:val="20"/>
              </w:rPr>
              <w:t>Manual, políticas, glosario, FAQ, tickets</w:t>
            </w:r>
          </w:p>
        </w:tc>
        <w:tc>
          <w:tcPr>
            <w:tcW w:type="dxa" w:w="3249"/>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val="0"/>
                <w:i w:val="0"/>
                <w:sz w:val="20"/>
              </w:rPr>
              <w:t>Operación y comercio</w:t>
            </w:r>
          </w:p>
        </w:tc>
      </w:tr>
      <w:tr>
        <w:trPr>
          <w:cantSplit/>
        </w:trPr>
        <w:tc>
          <w:tcPr>
            <w:tcW w:type="dxa" w:w="3249"/>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val="0"/>
                <w:i w:val="0"/>
                <w:sz w:val="20"/>
              </w:rPr>
              <w:t>Externo</w:t>
            </w:r>
          </w:p>
        </w:tc>
        <w:tc>
          <w:tcPr>
            <w:tcW w:type="dxa" w:w="3249"/>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val="0"/>
                <w:i w:val="0"/>
                <w:sz w:val="20"/>
              </w:rPr>
              <w:t>Ley 19.628, CMF, PCI-DSS (resúmenes)</w:t>
            </w:r>
          </w:p>
        </w:tc>
        <w:tc>
          <w:tcPr>
            <w:tcW w:type="dxa" w:w="3249"/>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val="0"/>
                <w:i w:val="0"/>
                <w:sz w:val="20"/>
              </w:rPr>
              <w:t>Norma y datos de tarjeta</w:t>
            </w:r>
          </w:p>
        </w:tc>
      </w:tr>
      <w:tr>
        <w:trPr>
          <w:cantSplit/>
        </w:trPr>
        <w:tc>
          <w:tcPr>
            <w:tcW w:type="dxa" w:w="3249"/>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val="0"/>
                <w:i w:val="0"/>
                <w:sz w:val="20"/>
              </w:rPr>
              <w:t>API mock</w:t>
            </w:r>
          </w:p>
        </w:tc>
        <w:tc>
          <w:tcPr>
            <w:tcW w:type="dxa" w:w="3249"/>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val="0"/>
                <w:i w:val="0"/>
                <w:sz w:val="20"/>
              </w:rPr>
              <w:t>TX-20250908-001, 002 y TX-20250907-015</w:t>
            </w:r>
          </w:p>
        </w:tc>
        <w:tc>
          <w:tcPr>
            <w:tcW w:type="dxa" w:w="3249"/>
            <w:tcBorders>
              <w:top w:val="single" w:sz="4" w:color="DCE9E8"/>
              <w:left w:val="single" w:sz="4" w:color="DCE9E8"/>
              <w:bottom w:val="single" w:sz="4" w:color="DCE9E8"/>
              <w:right w:val="single" w:sz="4" w:color="DCE9E8"/>
            </w:tcBorders>
          </w:tcPr>
          <w:p>
            <w:pPr>
              <w:spacing w:after="0" w:before="0" w:line="240" w:lineRule="auto"/>
              <w:ind w:firstLine="0"/>
              <w:jc w:val="left"/>
            </w:pPr>
            <w:r/>
            <w:r>
              <w:rPr>
                <w:rFonts w:ascii="Times New Roman" w:hAnsi="Times New Roman" w:eastAsia="Times New Roman"/>
                <w:b w:val="0"/>
                <w:i w:val="0"/>
                <w:sz w:val="20"/>
              </w:rPr>
              <w:t>Estado, monto y medio</w:t>
            </w:r>
          </w:p>
        </w:tc>
      </w:tr>
    </w:tbl>
    <w:p>
      <w:pPr>
        <w:spacing w:after="40"/>
      </w:pPr>
    </w:p>
    <w:p>
      <w:pPr>
        <w:spacing w:after="120" w:before="20" w:line="240" w:lineRule="auto"/>
        <w:ind w:firstLine="0"/>
        <w:jc w:val="center"/>
      </w:pPr>
      <w:r>
        <w:rPr>
          <w:rFonts w:ascii="Times New Roman" w:hAnsi="Times New Roman" w:eastAsia="Times New Roman"/>
          <w:b w:val="0"/>
          <w:i/>
          <w:sz w:val="20"/>
        </w:rPr>
        <w:t>Tabla 1. Fuentes simuladas del prototipo.</w:t>
      </w:r>
    </w:p>
    <w:p>
      <w:pPr>
        <w:spacing w:after="60" w:before="160" w:line="240" w:lineRule="auto"/>
        <w:ind w:firstLine="0"/>
        <w:jc w:val="left"/>
      </w:pPr>
      <w:r>
        <w:rPr>
          <w:rFonts w:ascii="Times New Roman" w:hAnsi="Times New Roman" w:eastAsia="Times New Roman"/>
          <w:b/>
          <w:i w:val="0"/>
          <w:sz w:val="24"/>
        </w:rPr>
        <w:t>4. Arquitectura de la solución</w:t>
      </w:r>
    </w:p>
    <w:p>
      <w:pPr>
        <w:spacing w:after="120" w:before="0" w:line="259" w:lineRule="auto"/>
        <w:ind w:firstLine="425"/>
        <w:jc w:val="both"/>
      </w:pPr>
      <w:r>
        <w:rPr>
          <w:rFonts w:ascii="Times New Roman" w:hAnsi="Times New Roman" w:eastAsia="Times New Roman"/>
          <w:b w:val="0"/>
          <w:i w:val="0"/>
          <w:sz w:val="24"/>
        </w:rPr>
        <w:t>La arquitectura separa recuperación, procesamiento y generación. El comercio escribe en una interfaz Streamlit. La aplicación invoca un AgentExecutor de LangChain, construido con create_openai_tools_agent. El modelo de lenguaje redacta solo después de recibir el resultado de una herramienta. Esas herramientas son el RAG interno, el RAG externo y la API mock. Las dos primeras leen FAISS; la tercera lee el diccionario de transacciones. La salida vuelve con la fuente, o con la indicación de escalar. La historia de chat puede reutilizarse en un turno siguiente sin reconstruir los índices. scripts/build_index.py persiste los índices en disco.</w:t>
      </w:r>
    </w:p>
    <w:p>
      <w:pPr>
        <w:spacing w:before="40" w:after="0"/>
        <w:jc w:val="center"/>
      </w:pPr>
      <w:r>
        <w:drawing>
          <wp:inline xmlns:a="http://schemas.openxmlformats.org/drawingml/2006/main" xmlns:pic="http://schemas.openxmlformats.org/drawingml/2006/picture">
            <wp:extent cx="6048000" cy="1918373"/>
            <wp:docPr id="1" name="Picture 1"/>
            <wp:cNvGraphicFramePr>
              <a:graphicFrameLocks noChangeAspect="1"/>
            </wp:cNvGraphicFramePr>
            <a:graphic>
              <a:graphicData uri="http://schemas.openxmlformats.org/drawingml/2006/picture">
                <pic:pic>
                  <pic:nvPicPr>
                    <pic:cNvPr id="0" name="arquitectura_verifipay.png"/>
                    <pic:cNvPicPr/>
                  </pic:nvPicPr>
                  <pic:blipFill>
                    <a:blip r:embed="rId11"/>
                    <a:stretch>
                      <a:fillRect/>
                    </a:stretch>
                  </pic:blipFill>
                  <pic:spPr>
                    <a:xfrm>
                      <a:off x="0" y="0"/>
                      <a:ext cx="6048000" cy="1918373"/>
                    </a:xfrm>
                    <a:prstGeom prst="rect"/>
                  </pic:spPr>
                </pic:pic>
              </a:graphicData>
            </a:graphic>
          </wp:inline>
        </w:drawing>
      </w:r>
    </w:p>
    <w:p>
      <w:pPr>
        <w:spacing w:after="120" w:before="20" w:line="240" w:lineRule="auto"/>
        <w:ind w:firstLine="0"/>
        <w:jc w:val="center"/>
      </w:pPr>
      <w:r>
        <w:rPr>
          <w:rFonts w:ascii="Times New Roman" w:hAnsi="Times New Roman" w:eastAsia="Times New Roman"/>
          <w:b w:val="0"/>
          <w:i/>
          <w:sz w:val="20"/>
        </w:rPr>
        <w:t>Figura 1. Flujo del agente VerifiPay: evidencia primero, redacción después.</w:t>
      </w:r>
    </w:p>
    <w:p>
      <w:pPr>
        <w:spacing w:after="60" w:before="160" w:line="240" w:lineRule="auto"/>
        <w:ind w:firstLine="0"/>
        <w:jc w:val="left"/>
      </w:pPr>
      <w:r>
        <w:rPr>
          <w:rFonts w:ascii="Times New Roman" w:hAnsi="Times New Roman" w:eastAsia="Times New Roman"/>
          <w:b/>
          <w:i w:val="0"/>
          <w:sz w:val="24"/>
        </w:rPr>
        <w:t>5. Decisiones, pruebas y trazabilidad</w:t>
      </w:r>
    </w:p>
    <w:p>
      <w:pPr>
        <w:spacing w:after="120" w:before="0" w:line="259" w:lineRule="auto"/>
        <w:ind w:firstLine="425"/>
        <w:jc w:val="both"/>
      </w:pPr>
      <w:r>
        <w:rPr>
          <w:rFonts w:ascii="Times New Roman" w:hAnsi="Times New Roman" w:eastAsia="Times New Roman"/>
          <w:b w:val="0"/>
          <w:i w:val="0"/>
          <w:sz w:val="24"/>
        </w:rPr>
        <w:t>Se usó un agente con herramientas y no un único pipeline fijo porque una misma sesión puede pedir un plazo y, después, el estado de una transacción. Un flujo rígido consultaría siempre ambos índices y la API, con más tokens y con riesgo de mezclar una norma con un procedimiento interno. Dos índices evitan que un fragmento de PCI-DSS compita con el manual cuando la pregunta es operativa. La API queda fuera del índice porque el estado de una transacción no está en un documento. Streamlit existe para la defensa: muestra la pregunta y la respuesta, y permite lanzar los casos de prueba. LangChain se eligió porque el curso ya trabajó sobre ese framework agentes, memoria y RAG.</w:t>
      </w:r>
    </w:p>
    <w:p>
      <w:pPr>
        <w:spacing w:after="120" w:before="0" w:line="259" w:lineRule="auto"/>
        <w:ind w:firstLine="425"/>
        <w:jc w:val="both"/>
      </w:pPr>
      <w:r>
        <w:rPr>
          <w:rFonts w:ascii="Times New Roman" w:hAnsi="Times New Roman" w:eastAsia="Times New Roman"/>
          <w:b w:val="0"/>
          <w:i w:val="0"/>
          <w:sz w:val="24"/>
        </w:rPr>
        <w:t>Las pruebas unitarias no requieren clave de API. Verifican la carga de ambos corpus y la API mock: TX-20250908-001 responde abonado y $125.000 CLP; un identificador inexistente informa que no hay registro. Las pruebas de integración y de extremo a extremo, en tests/test_rag_integration.py y tests/test_agent_integration.py, sí requieren LLM_API_KEY. Comprueban que la consulta del error E-204 menciona la conexión o el Wi-Fi, que las ventas de fin de semana recuperan el plazo del martes, y que TX-20250908-002 se informa pendiente. La coherencia dato–respuesta se ve en esa consulta de fin de semana: el manual indica depósito el martes siguiente antes de las 14:00 hrs., y la respuesta debe repetir ese plazo y citar manual_soporte.md o faq_comercios.json. Si el fragmento no supera el umbral, la salida correcta es el escalamiento.</w:t>
      </w:r>
    </w:p>
    <w:p>
      <w:pPr>
        <w:spacing w:after="60" w:before="160" w:line="240" w:lineRule="auto"/>
        <w:ind w:firstLine="0"/>
        <w:jc w:val="left"/>
      </w:pPr>
      <w:r>
        <w:rPr>
          <w:rFonts w:ascii="Times New Roman" w:hAnsi="Times New Roman" w:eastAsia="Times New Roman"/>
          <w:b/>
          <w:i w:val="0"/>
          <w:sz w:val="24"/>
        </w:rPr>
        <w:t>6. Conclusiones</w:t>
      </w:r>
    </w:p>
    <w:p>
      <w:pPr>
        <w:spacing w:after="120" w:before="0" w:line="259" w:lineRule="auto"/>
        <w:ind w:firstLine="425"/>
        <w:jc w:val="both"/>
      </w:pPr>
      <w:r>
        <w:rPr>
          <w:rFonts w:ascii="Times New Roman" w:hAnsi="Times New Roman" w:eastAsia="Times New Roman"/>
          <w:b w:val="0"/>
          <w:i w:val="0"/>
          <w:sz w:val="24"/>
        </w:rPr>
        <w:t>El prototipo responde en lenguaje natural, fundamenta con el corpus interno o con el normativo, consulta transacciones simuladas y se abstiene cuando la evidencia es débil. Los objetivos de 15 minutos, 85 % con fuente y 40 % sin humano quedan como criterios de operación. Lo que el prototipo demuestra es el mecanismo: cita, enrutamiento y escalamiento. No mide esos porcentajes sobre 350 consultas diarias, porque la organización y los datos son ficticios.</w:t>
      </w:r>
    </w:p>
    <w:p>
      <w:pPr>
        <w:spacing w:after="120" w:before="0" w:line="259" w:lineRule="auto"/>
        <w:ind w:firstLine="425"/>
        <w:jc w:val="both"/>
      </w:pPr>
      <w:r>
        <w:rPr>
          <w:rFonts w:ascii="Times New Roman" w:hAnsi="Times New Roman" w:eastAsia="Times New Roman"/>
          <w:b w:val="0"/>
          <w:i w:val="0"/>
          <w:sz w:val="24"/>
        </w:rPr>
        <w:t>Queda fuera conectar APIs productivas, certificar PCI-DSS y sustituir el texto legal por el resumen del corpus. Esos límites son parte del alcance académico aprobado y deben decirse en la defensa.</w:t>
      </w:r>
    </w:p>
    <w:p>
      <w:pPr>
        <w:spacing w:after="60" w:before="160" w:line="240" w:lineRule="auto"/>
        <w:ind w:firstLine="0"/>
        <w:jc w:val="left"/>
      </w:pPr>
      <w:r>
        <w:rPr>
          <w:rFonts w:ascii="Times New Roman" w:hAnsi="Times New Roman" w:eastAsia="Times New Roman"/>
          <w:b/>
          <w:i w:val="0"/>
          <w:sz w:val="24"/>
        </w:rPr>
        <w:t>7. Reflexión individual</w:t>
      </w:r>
    </w:p>
    <w:p>
      <w:pPr>
        <w:spacing w:after="80" w:before="0" w:line="252" w:lineRule="auto"/>
        <w:ind w:firstLine="0"/>
        <w:jc w:val="left"/>
      </w:pPr>
      <w:r>
        <w:rPr>
          <w:rFonts w:ascii="Times New Roman" w:hAnsi="Times New Roman" w:eastAsia="Times New Roman"/>
          <w:b/>
          <w:i w:val="0"/>
          <w:sz w:val="22"/>
        </w:rPr>
        <w:t xml:space="preserve">Completar a mano, sin asistencia de IA, antes de entregar (8 a 12 líneas). </w:t>
      </w:r>
      <w:r>
        <w:rPr>
          <w:rFonts w:ascii="Times New Roman" w:hAnsi="Times New Roman" w:eastAsia="Times New Roman"/>
          <w:b w:val="0"/>
          <w:i/>
          <w:sz w:val="22"/>
        </w:rPr>
        <w:t>La pauta prohíbe redactar esta reflexión con IA. Sugerencia de contenido: qué aprendí al formular el prompt y al separar los dos índices; qué decisión defendería si me preguntan por qué no basta un chatbot; qué límite del prototipo reconozco.</w:t>
      </w:r>
    </w:p>
    <w:p>
      <w:pPr>
        <w:spacing w:after="160" w:before="0" w:line="240" w:lineRule="auto"/>
        <w:ind w:firstLine="0"/>
        <w:jc w:val="left"/>
      </w:pPr>
      <w:r>
        <w:rPr>
          <w:rFonts w:ascii="Times New Roman" w:hAnsi="Times New Roman" w:eastAsia="Times New Roman"/>
          <w:b w:val="0"/>
          <w:i w:val="0"/>
          <w:color w:val="B4BEC2"/>
          <w:sz w:val="22"/>
        </w:rPr>
        <w:t>______________________________________________________________________________</w:t>
      </w:r>
    </w:p>
    <w:p>
      <w:pPr>
        <w:spacing w:after="160" w:before="0" w:line="240" w:lineRule="auto"/>
        <w:ind w:firstLine="0"/>
        <w:jc w:val="left"/>
      </w:pPr>
      <w:r>
        <w:rPr>
          <w:rFonts w:ascii="Times New Roman" w:hAnsi="Times New Roman" w:eastAsia="Times New Roman"/>
          <w:b w:val="0"/>
          <w:i w:val="0"/>
          <w:color w:val="B4BEC2"/>
          <w:sz w:val="22"/>
        </w:rPr>
        <w:t>______________________________________________________________________________</w:t>
      </w:r>
    </w:p>
    <w:p>
      <w:pPr>
        <w:spacing w:after="160" w:before="0" w:line="240" w:lineRule="auto"/>
        <w:ind w:firstLine="0"/>
        <w:jc w:val="left"/>
      </w:pPr>
      <w:r>
        <w:rPr>
          <w:rFonts w:ascii="Times New Roman" w:hAnsi="Times New Roman" w:eastAsia="Times New Roman"/>
          <w:b w:val="0"/>
          <w:i w:val="0"/>
          <w:color w:val="B4BEC2"/>
          <w:sz w:val="22"/>
        </w:rPr>
        <w:t>______________________________________________________________________________</w:t>
      </w:r>
    </w:p>
    <w:p>
      <w:pPr>
        <w:spacing w:after="160" w:before="0" w:line="240" w:lineRule="auto"/>
        <w:ind w:firstLine="0"/>
        <w:jc w:val="left"/>
      </w:pPr>
      <w:r>
        <w:rPr>
          <w:rFonts w:ascii="Times New Roman" w:hAnsi="Times New Roman" w:eastAsia="Times New Roman"/>
          <w:b w:val="0"/>
          <w:i w:val="0"/>
          <w:color w:val="B4BEC2"/>
          <w:sz w:val="22"/>
        </w:rPr>
        <w:t>______________________________________________________________________________</w:t>
      </w:r>
    </w:p>
    <w:p>
      <w:pPr>
        <w:spacing w:after="60" w:before="160" w:line="240" w:lineRule="auto"/>
        <w:ind w:firstLine="0"/>
        <w:jc w:val="left"/>
      </w:pPr>
      <w:r>
        <w:rPr>
          <w:rFonts w:ascii="Times New Roman" w:hAnsi="Times New Roman" w:eastAsia="Times New Roman"/>
          <w:b/>
          <w:i w:val="0"/>
          <w:sz w:val="24"/>
        </w:rPr>
        <w:t>Referencias</w:t>
      </w:r>
    </w:p>
    <w:p>
      <w:pPr>
        <w:spacing w:after="40" w:before="0" w:line="240" w:lineRule="auto"/>
        <w:ind w:hanging="425" w:left="425"/>
        <w:jc w:val="left"/>
      </w:pPr>
      <w:r>
        <w:rPr>
          <w:rFonts w:ascii="Times New Roman" w:hAnsi="Times New Roman" w:eastAsia="Times New Roman"/>
          <w:b w:val="0"/>
          <w:i w:val="0"/>
          <w:sz w:val="22"/>
        </w:rPr>
        <w:t>Comisión para el Mercado Financiero. (s. f.). Regulación y normativa. https://www.cmfchile.cl/</w:t>
      </w:r>
    </w:p>
    <w:p>
      <w:pPr>
        <w:spacing w:after="40" w:before="0" w:line="240" w:lineRule="auto"/>
        <w:ind w:hanging="425" w:left="425"/>
        <w:jc w:val="left"/>
      </w:pPr>
      <w:r>
        <w:rPr>
          <w:rFonts w:ascii="Times New Roman" w:hAnsi="Times New Roman" w:eastAsia="Times New Roman"/>
          <w:b w:val="0"/>
          <w:i w:val="0"/>
          <w:sz w:val="22"/>
        </w:rPr>
        <w:t>Johnson, J., Douze, M. y Jégou, H. (2019). Billion-scale similarity search with GPUs. IEEE Transactions on Big Data, 7(3), 535–547. https://doi.org/10.1109/TBDATA.2019.2921572</w:t>
      </w:r>
    </w:p>
    <w:p>
      <w:pPr>
        <w:spacing w:after="40" w:before="0" w:line="240" w:lineRule="auto"/>
        <w:ind w:hanging="425" w:left="425"/>
        <w:jc w:val="left"/>
      </w:pPr>
      <w:r>
        <w:rPr>
          <w:rFonts w:ascii="Times New Roman" w:hAnsi="Times New Roman" w:eastAsia="Times New Roman"/>
          <w:b w:val="0"/>
          <w:i w:val="0"/>
          <w:sz w:val="22"/>
        </w:rPr>
        <w:t>LangChain. (2025). Build a retrieval augmented generation (RAG) app. https://python.langchain.com/docs/tutorials/rag/</w:t>
      </w:r>
    </w:p>
    <w:p>
      <w:pPr>
        <w:spacing w:after="40" w:before="0" w:line="240" w:lineRule="auto"/>
        <w:ind w:hanging="425" w:left="425"/>
        <w:jc w:val="left"/>
      </w:pPr>
      <w:r>
        <w:rPr>
          <w:rFonts w:ascii="Times New Roman" w:hAnsi="Times New Roman" w:eastAsia="Times New Roman"/>
          <w:b w:val="0"/>
          <w:i w:val="0"/>
          <w:sz w:val="22"/>
        </w:rPr>
        <w:t>Lewis, P., Perez, E., Piktus, A., Petroni, F., Karpukhin, V., Goyal, N., Küttler, H., Lewis, M., Yih, W., Rocktäschel, T., Riedel, S. y Kiela, D. (2020). Retrieval-augmented generation for knowledge-intensive NLP tasks. Advances in Neural Information Processing Systems, 33, 9459–9474.</w:t>
      </w:r>
    </w:p>
    <w:p>
      <w:pPr>
        <w:spacing w:after="40" w:before="0" w:line="240" w:lineRule="auto"/>
        <w:ind w:hanging="425" w:left="425"/>
        <w:jc w:val="left"/>
      </w:pPr>
      <w:r>
        <w:rPr>
          <w:rFonts w:ascii="Times New Roman" w:hAnsi="Times New Roman" w:eastAsia="Times New Roman"/>
          <w:b w:val="0"/>
          <w:i w:val="0"/>
          <w:sz w:val="22"/>
        </w:rPr>
        <w:t>Ley N° 19.628 de 1999. Sobre protección de la vida privada. Biblioteca del Congreso Nacional de Chile. https://www.bcn.cl/leychile/navegar?idNorma=141599</w:t>
      </w:r>
    </w:p>
    <w:p>
      <w:pPr>
        <w:spacing w:after="40" w:before="0" w:line="240" w:lineRule="auto"/>
        <w:ind w:hanging="425" w:left="425"/>
        <w:jc w:val="left"/>
      </w:pPr>
      <w:r>
        <w:rPr>
          <w:rFonts w:ascii="Times New Roman" w:hAnsi="Times New Roman" w:eastAsia="Times New Roman"/>
          <w:b w:val="0"/>
          <w:i w:val="0"/>
          <w:sz w:val="22"/>
        </w:rPr>
        <w:t>PCI Security Standards Council. (2024). Payment Card Industry Data Security Standard: Requirements and testing procedures (Version 4.0.1).</w:t>
      </w:r>
    </w:p>
    <w:p>
      <w:pPr>
        <w:spacing w:after="60" w:before="160" w:line="240" w:lineRule="auto"/>
        <w:ind w:firstLine="0"/>
        <w:jc w:val="left"/>
      </w:pPr>
      <w:r>
        <w:rPr>
          <w:rFonts w:ascii="Times New Roman" w:hAnsi="Times New Roman" w:eastAsia="Times New Roman"/>
          <w:b/>
          <w:i w:val="0"/>
          <w:sz w:val="24"/>
        </w:rPr>
        <w:t>Declaración de uso de inteligencia artificial</w:t>
      </w:r>
    </w:p>
    <w:p>
      <w:pPr>
        <w:spacing w:after="120" w:before="0" w:line="259" w:lineRule="auto"/>
        <w:ind w:firstLine="425"/>
        <w:jc w:val="both"/>
      </w:pPr>
      <w:r>
        <w:rPr>
          <w:rFonts w:ascii="Times New Roman" w:hAnsi="Times New Roman" w:eastAsia="Times New Roman"/>
          <w:b w:val="0"/>
          <w:i w:val="0"/>
          <w:sz w:val="24"/>
        </w:rPr>
        <w:t>Se usó un asistente de IA generativa para ordenar la redacción de este informe, el apoyo visual de la presentación y el guion de exposición. El caso, el corpus simulado, los prompts, la arquitectura y las pruebas están en el repositorio BOT_SOPORTE y fueron revisados por el estudiante. La sección 7 debe completarse sin asistencia de IA. Citación de herramientas de IA según Biblioteca Duoc UC: https://bibliotecas.duoc.cl/ia</w:t>
      </w:r>
    </w:p>
    <w:sectPr w:rsidR="00FC693F" w:rsidRPr="0006063C" w:rsidSect="00034616">
      <w:headerReference w:type="default" r:id="rId9"/>
      <w:footerReference w:type="default" r:id="rId10"/>
      <w:pgSz w:w="12240" w:h="15840"/>
      <w:pgMar w:top="964" w:right="1247" w:bottom="907" w:left="1247"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ind w:firstLine="0"/>
      <w:jc w:val="center"/>
    </w:pPr>
    <w:r>
      <w:rPr>
        <w:rFonts w:ascii="Times New Roman" w:hAnsi="Times New Roman" w:eastAsia="Times New Roman"/>
        <w:b w:val="0"/>
        <w:i w:val="0"/>
        <w:color w:val="5C7680"/>
        <w:sz w:val="18"/>
      </w:rPr>
      <w:t xml:space="preserve">Evaluación Parcial N°1  ·  página </w:t>
    </w:r>
    <w:r>
      <w:rPr>
        <w:rFonts w:ascii="Times New Roman" w:hAnsi="Times New Roman" w:eastAsia="Times New Roman"/>
        <w:b w:val="0"/>
        <w:i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ind w:firstLine="0"/>
      <w:jc w:val="center"/>
    </w:pPr>
    <w:r>
      <w:rPr>
        <w:rFonts w:ascii="Times New Roman" w:hAnsi="Times New Roman" w:eastAsia="Times New Roman"/>
        <w:b w:val="0"/>
        <w:i/>
        <w:color w:val="5C7680"/>
        <w:sz w:val="18"/>
      </w:rPr>
      <w:t>VerifiPay SpA  ·  EP1 ISY0101  ·  Pablo Gutiérrez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