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43.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current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This formulation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A simple heuristic is used in the current repository:</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64"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is the human-readable bridge to those artifacts.</w:t>
      </w:r>
    </w:p>
    <w:p>
      <w:r>
        <w:pict>
          <v:rect style="width:0;height:1.5pt" o:hralign="center" o:hrstd="t" o:hr="t"/>
        </w:pict>
      </w:r>
    </w:p>
    <w:bookmarkEnd w:id="63"/>
    <w:bookmarkEnd w:id="64"/>
    <w:bookmarkStart w:id="71" w:name="X7a87aa1dde06681bd6d7c1618e0fa5e1bc532e2"/>
    <w:p>
      <w:pPr>
        <w:pStyle w:val="Heading1"/>
      </w:pPr>
      <w:r>
        <w:t xml:space="preserve">Track A: Modal semantic / panoptic segmentation</w:t>
      </w:r>
    </w:p>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End w:id="71"/>
    <w:bookmarkStart w:id="81" w:name="X9611b6e4d697ea7334b585b246db2fe47091bb5"/>
    <w:p>
      <w:pPr>
        <w:pStyle w:val="Heading1"/>
      </w:pPr>
      <w:r>
        <w:t xml:space="preserve">Track B: Depth-order and occlusion-graph quality</w:t>
      </w:r>
    </w:p>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End w:id="81"/>
    <w:bookmarkStart w:id="90" w:name="track-c-rgba-recomposition-fidelity"/>
    <w:p>
      <w:pPr>
        <w:pStyle w:val="Heading1"/>
      </w:pPr>
      <w:r>
        <w:t xml:space="preserve">Track C: RGBA recomposition fidelity</w:t>
      </w:r>
    </w:p>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End w:id="90"/>
    <w:bookmarkStart w:id="98" w:name="Xea7f79f5580e95207963157529789df046a2153"/>
    <w:p>
      <w:pPr>
        <w:pStyle w:val="Heading1"/>
      </w:pPr>
      <w:r>
        <w:t xml:space="preserve">Track D: Amodal mask and hidden-region completion</w:t>
      </w:r>
    </w:p>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End w:id="98"/>
    <w:bookmarkStart w:id="105" w:name="track-e-intrinsic-albedoshading-split"/>
    <w:p>
      <w:pPr>
        <w:pStyle w:val="Heading1"/>
      </w:pPr>
      <w:r>
        <w:t xml:space="preserve">Track E: Intrinsic albedo/shading split</w:t>
      </w:r>
    </w:p>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End w:id="105"/>
    <w:bookmarkStart w:id="113" w:name="track-f-editability-evaluation"/>
    <w:p>
      <w:pPr>
        <w:pStyle w:val="Heading1"/>
      </w:pPr>
      <w:r>
        <w:t xml:space="preserve">Track F: Editability evaluation</w:t>
      </w:r>
    </w:p>
    <w:bookmarkStart w:id="106"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End w:id="113"/>
    <w:bookmarkStart w:id="118"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End w:id="118"/>
    <w:bookmarkStart w:id="120"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End w:id="120"/>
    <w:bookmarkStart w:id="121" w:name="visual-evidence-set"/>
    <w:p>
      <w:pPr>
        <w:pStyle w:val="Heading1"/>
      </w:pPr>
      <w:r>
        <w:t xml:space="preserve">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1"/>
    <w:bookmarkStart w:id="122" w:name="failure-case-taxonomy"/>
    <w:p>
      <w:pPr>
        <w:pStyle w:val="Heading1"/>
      </w:pPr>
      <w:r>
        <w:t xml:space="preserve">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2"/>
    <w:bookmarkStart w:id="162"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56" w:name="results"/>
    <w:p>
      <w:pPr>
        <w:pStyle w:val="Heading2"/>
      </w:pPr>
      <w:r>
        <w:t xml:space="preserve">6. Results</w:t>
      </w:r>
    </w:p>
    <w:bookmarkStart w:id="147"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3165230"/>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3165230"/>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872153"/>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Associated-effect demo</w:t>
      </w:r>
    </w:p>
    <w:bookmarkEnd w:id="142"/>
    <w:bookmarkStart w:id="146" w:name="intrinsic-export-demo"/>
    <w:p>
      <w:pPr>
        <w:pStyle w:val="Heading4"/>
      </w:pPr>
      <w:r>
        <w:t xml:space="preserve">Intrinsic export demo</w:t>
      </w:r>
    </w:p>
    <w:p>
      <w:pPr>
        <w:pStyle w:val="CaptionedFigure"/>
      </w:pPr>
      <w:r>
        <w:drawing>
          <wp:inline>
            <wp:extent cx="5334000" cy="3719763"/>
            <wp:effectExtent b="0" l="0" r="0" t="0"/>
            <wp:docPr descr="Intrinsic layer demo" title="" id="144" name="Picture"/>
            <a:graphic>
              <a:graphicData uri="http://schemas.openxmlformats.org/drawingml/2006/picture">
                <pic:pic>
                  <pic:nvPicPr>
                    <pic:cNvPr descr="../figures/intrinsic_layer_demo.png" id="145" name="Picture"/>
                    <pic:cNvPicPr>
                      <a:picLocks noChangeArrowheads="1" noChangeAspect="1"/>
                    </pic:cNvPicPr>
                  </pic:nvPicPr>
                  <pic:blipFill>
                    <a:blip r:embed="rId143"/>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6"/>
    <w:bookmarkEnd w:id="147"/>
    <w:bookmarkStart w:id="154"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8"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8"/>
    <w:bookmarkStart w:id="149"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49"/>
    <w:bookmarkStart w:id="150"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50"/>
    <w:bookmarkStart w:id="151"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51"/>
    <w:bookmarkStart w:id="152"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2"/>
    <w:bookmarkStart w:id="153"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3"/>
    <w:bookmarkEnd w:id="154"/>
    <w:bookmarkStart w:id="155"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fair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state-of-the-art intrinsic benchmark.</w:t>
      </w:r>
    </w:p>
    <w:bookmarkEnd w:id="155"/>
    <w:bookmarkEnd w:id="156"/>
    <w:bookmarkStart w:id="157" w:name="discussion"/>
    <w:p>
      <w:pPr>
        <w:pStyle w:val="Heading2"/>
      </w:pPr>
      <w:r>
        <w:t xml:space="preserve">7. Discussion</w:t>
      </w:r>
    </w:p>
    <w:p>
      <w:pPr>
        <w:pStyle w:val="FirstParagraph"/>
      </w:pPr>
      <w:r>
        <w:t xml:space="preserve">The strongest reading of the current results is not that LayerForge-X universally beats generative decomposers on raw pixels. The stronger claim is that it turns native, generative, and recursive decompositions into one explicit editable graph representation with auditable metrics and exportable structure. Qwen remains the right generative RGBA baseline. LayerForge-X remains strongest when framed as a graph-aware, benchmarkable, editability-oriented complement to that frontier.</w:t>
      </w:r>
    </w:p>
    <w:bookmarkEnd w:id="157"/>
    <w:bookmarkStart w:id="160" w:name="limitations"/>
    <w:p>
      <w:pPr>
        <w:pStyle w:val="Heading2"/>
      </w:pPr>
      <w:r>
        <w:t xml:space="preserve">8. Limitations</w:t>
      </w:r>
    </w:p>
    <w:p>
      <w:pPr>
        <w:pStyle w:val="FirstParagraph"/>
      </w:pPr>
      <w:r>
        <w:t xml:space="preserve">Failure taxonomy and future-work framing are documented in</w:t>
      </w:r>
      <w:r>
        <w:t xml:space="preserve"> </w:t>
      </w:r>
      <w:hyperlink r:id="rId158">
        <w:r>
          <w:rPr>
            <w:rStyle w:val="Hyperlink"/>
          </w:rPr>
          <w:t xml:space="preserve">04_ABLATIONS_AND_TABLES.md</w:t>
        </w:r>
      </w:hyperlink>
      <w:r>
        <w:t xml:space="preserve"> </w:t>
      </w:r>
      <w:r>
        <w:t xml:space="preserve">and</w:t>
      </w:r>
      <w:r>
        <w:t xml:space="preserve"> </w:t>
      </w:r>
      <w:hyperlink r:id="rId159">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60"/>
    <w:bookmarkStart w:id="161" w:name="conclusion"/>
    <w:p>
      <w:pPr>
        <w:pStyle w:val="Heading2"/>
      </w:pPr>
      <w:r>
        <w:t xml:space="preserve">9. Conclusion</w:t>
      </w:r>
    </w:p>
    <w:p>
      <w:pPr>
        <w:pStyle w:val="FirstParagraph"/>
      </w:pPr>
      <w:r>
        <w:t xml:space="preserve">LayerForge-X is now best understood as a self-evaluating layer-representation system rather than a simple decomposition script. It can produce native graph layers, enrich frontier RGBA layers, run recursive peeling, measure editability, benchmark prompt extraction, approximate transparent recovery, and export a canonical DALG manifest. That combination is the core project contribution.</w:t>
      </w:r>
    </w:p>
    <w:bookmarkEnd w:id="161"/>
    <w:bookmarkEnd w:id="162"/>
    <w:bookmarkStart w:id="176" w:name="references"/>
    <w:p>
      <w:pPr>
        <w:pStyle w:val="Heading1"/>
      </w:pPr>
      <w:r>
        <w:t xml:space="preserve">10. References</w:t>
      </w:r>
    </w:p>
    <w:p>
      <w:pPr>
        <w:pStyle w:val="Compact"/>
        <w:numPr>
          <w:ilvl w:val="0"/>
          <w:numId w:val="1018"/>
        </w:numPr>
      </w:pPr>
      <w:r>
        <w:t xml:space="preserve">Shade, J., Gortler, S., He, L., and Szeliski, R. Layered Depth Images. SIGGRAPH 1998.</w:t>
      </w:r>
    </w:p>
    <w:p>
      <w:pPr>
        <w:pStyle w:val="Compact"/>
        <w:numPr>
          <w:ilvl w:val="0"/>
          <w:numId w:val="1018"/>
        </w:numPr>
      </w:pPr>
      <w:r>
        <w:t xml:space="preserve">Shih, M.-L., Su, S.-Y., Kopf, J., and Huang, J.-B. 3D Photography using Context-aware Layered Depth Inpainting. CVPR 2020.</w:t>
      </w:r>
    </w:p>
    <w:p>
      <w:pPr>
        <w:pStyle w:val="Compact"/>
        <w:numPr>
          <w:ilvl w:val="0"/>
          <w:numId w:val="1018"/>
        </w:numPr>
      </w:pPr>
      <w:r>
        <w:t xml:space="preserve">Kirillov, A. et al. Panoptic Segmentation. CVPR 2019.</w:t>
      </w:r>
    </w:p>
    <w:p>
      <w:pPr>
        <w:pStyle w:val="Compact"/>
        <w:numPr>
          <w:ilvl w:val="0"/>
          <w:numId w:val="1018"/>
        </w:numPr>
      </w:pPr>
      <w:r>
        <w:t xml:space="preserve">Cheng, B. et al. Mask2Former for Universal Image Segmentation. CVPR 2022.</w:t>
      </w:r>
    </w:p>
    <w:p>
      <w:pPr>
        <w:pStyle w:val="Compact"/>
        <w:numPr>
          <w:ilvl w:val="0"/>
          <w:numId w:val="1018"/>
        </w:numPr>
      </w:pPr>
      <w:r>
        <w:t xml:space="preserve">Liu, S. et al. Grounding DINO: Marrying DINO with Grounded Pre-Training for Open-Set Object Detection. ECCV 2024 / arXiv 2023.</w:t>
      </w:r>
    </w:p>
    <w:p>
      <w:pPr>
        <w:pStyle w:val="Compact"/>
        <w:numPr>
          <w:ilvl w:val="0"/>
          <w:numId w:val="1018"/>
        </w:numPr>
      </w:pPr>
      <w:r>
        <w:t xml:space="preserve">Ravi, N. et al. SAM 2: Segment Anything in Images and Videos. 2024.</w:t>
      </w:r>
    </w:p>
    <w:p>
      <w:pPr>
        <w:pStyle w:val="Compact"/>
        <w:numPr>
          <w:ilvl w:val="0"/>
          <w:numId w:val="1018"/>
        </w:numPr>
      </w:pPr>
      <w:r>
        <w:t xml:space="preserve">Xiao, B. et al. Florence-2: Advancing a Unified Representation for a Variety of Vision Tasks. CVPR 2024.</w:t>
      </w:r>
    </w:p>
    <w:p>
      <w:pPr>
        <w:pStyle w:val="Compact"/>
        <w:numPr>
          <w:ilvl w:val="0"/>
          <w:numId w:val="1018"/>
        </w:numPr>
      </w:pPr>
      <w:r>
        <w:t xml:space="preserve">Bochkovskiy, A. et al. Depth Pro: Sharp Monocular Metric Depth in Less Than a Second. 2024.</w:t>
      </w:r>
    </w:p>
    <w:p>
      <w:pPr>
        <w:pStyle w:val="Compact"/>
        <w:numPr>
          <w:ilvl w:val="0"/>
          <w:numId w:val="1018"/>
        </w:numPr>
      </w:pPr>
      <w:r>
        <w:t xml:space="preserve">Yang, Y. et al. Generative Image Layer Decomposition with Visual Effects. CVPR 2025.</w:t>
      </w:r>
    </w:p>
    <w:p>
      <w:pPr>
        <w:pStyle w:val="Compact"/>
        <w:numPr>
          <w:ilvl w:val="0"/>
          <w:numId w:val="1018"/>
        </w:numPr>
      </w:pPr>
      <w:r>
        <w:t xml:space="preserve">DiffDecompose: Layer-Wise Decomposition of Alpha-Composited Images via Diffusion Transformers. arXiv 2025.</w:t>
      </w:r>
    </w:p>
    <w:p>
      <w:pPr>
        <w:pStyle w:val="Compact"/>
        <w:numPr>
          <w:ilvl w:val="0"/>
          <w:numId w:val="1018"/>
        </w:numPr>
      </w:pPr>
      <w:r>
        <w:t xml:space="preserve">Referring Layer Decomposition. arXiv 2026.</w:t>
      </w:r>
    </w:p>
    <w:p>
      <w:pPr>
        <w:pStyle w:val="Compact"/>
        <w:numPr>
          <w:ilvl w:val="0"/>
          <w:numId w:val="1018"/>
        </w:numPr>
      </w:pPr>
      <w:r>
        <w:t xml:space="preserve">Qwen-Image-Layered: Towards Inherent Editability via Layer Decomposition. 2025.</w:t>
      </w:r>
    </w:p>
    <w:p>
      <w:pPr>
        <w:pStyle w:val="Compact"/>
        <w:numPr>
          <w:ilvl w:val="0"/>
          <w:numId w:val="1018"/>
        </w:numPr>
      </w:pPr>
      <w:r>
        <w:t xml:space="preserve">Yao, J. et al. Matte Anything. 2024.</w:t>
      </w:r>
    </w:p>
    <w:p>
      <w:pPr>
        <w:pStyle w:val="Compact"/>
        <w:numPr>
          <w:ilvl w:val="0"/>
          <w:numId w:val="1018"/>
        </w:numPr>
      </w:pPr>
      <w:r>
        <w:t xml:space="preserve">Suvorov, R. et al. Resolution-robust Large Mask Inpainting with Fourier Convolutions. WACV 2022.</w:t>
      </w:r>
    </w:p>
    <w:p>
      <w:pPr>
        <w:pStyle w:val="Compact"/>
        <w:numPr>
          <w:ilvl w:val="0"/>
          <w:numId w:val="1018"/>
        </w:numPr>
      </w:pPr>
      <w:r>
        <w:t xml:space="preserve">Bell, S. et al. Intrinsic Images in the Wild. SIGGRAPH 2014.</w:t>
      </w:r>
    </w:p>
    <w:p>
      <w:pPr>
        <w:pStyle w:val="Compact"/>
        <w:numPr>
          <w:ilvl w:val="0"/>
          <w:numId w:val="1018"/>
        </w:numPr>
      </w:pPr>
      <w:r>
        <w:t xml:space="preserve">Tai, Y. et al. Segment Anything, Even Occluded. 2025.</w:t>
      </w:r>
    </w:p>
    <w:bookmarkStart w:id="174" w:name="appendix-a-artifact-map"/>
    <w:p>
      <w:pPr>
        <w:pStyle w:val="Heading2"/>
      </w:pPr>
      <w:r>
        <w:t xml:space="preserve">Appendix A: artifact map</w:t>
      </w:r>
    </w:p>
    <w:p>
      <w:pPr>
        <w:pStyle w:val="FirstParagraph"/>
      </w:pPr>
      <w:r>
        <w:t xml:space="preserve">Submission source-of-truth files:</w:t>
      </w:r>
    </w:p>
    <w:p>
      <w:pPr>
        <w:pStyle w:val="Compact"/>
        <w:numPr>
          <w:ilvl w:val="0"/>
          <w:numId w:val="1019"/>
        </w:numPr>
      </w:pPr>
      <w:hyperlink r:id="rId163">
        <w:r>
          <w:rPr>
            <w:rStyle w:val="Hyperlink"/>
          </w:rPr>
          <w:t xml:space="preserve">../../PROJECT_MANIFEST.json</w:t>
        </w:r>
      </w:hyperlink>
    </w:p>
    <w:p>
      <w:pPr>
        <w:pStyle w:val="Compact"/>
        <w:numPr>
          <w:ilvl w:val="0"/>
          <w:numId w:val="1019"/>
        </w:numPr>
      </w:pPr>
      <w:hyperlink r:id="rId164">
        <w:r>
          <w:rPr>
            <w:rStyle w:val="Hyperlink"/>
          </w:rPr>
          <w:t xml:space="preserve">../../report_artifacts/README.md</w:t>
        </w:r>
      </w:hyperlink>
    </w:p>
    <w:p>
      <w:pPr>
        <w:pStyle w:val="Compact"/>
        <w:numPr>
          <w:ilvl w:val="0"/>
          <w:numId w:val="1019"/>
        </w:numPr>
      </w:pPr>
      <w:hyperlink r:id="rId165">
        <w:r>
          <w:rPr>
            <w:rStyle w:val="Hyperlink"/>
          </w:rPr>
          <w:t xml:space="preserve">../../report_artifacts/metrics_snapshots/</w:t>
        </w:r>
      </w:hyperlink>
    </w:p>
    <w:p>
      <w:pPr>
        <w:pStyle w:val="Compact"/>
        <w:numPr>
          <w:ilvl w:val="0"/>
          <w:numId w:val="1019"/>
        </w:numPr>
      </w:pPr>
      <w:hyperlink r:id="rId166">
        <w:r>
          <w:rPr>
            <w:rStyle w:val="Hyperlink"/>
          </w:rPr>
          <w:t xml:space="preserve">../../report_artifacts/figure_sources/figure_manifest.json</w:t>
        </w:r>
      </w:hyperlink>
    </w:p>
    <w:p>
      <w:pPr>
        <w:pStyle w:val="Compact"/>
        <w:numPr>
          <w:ilvl w:val="0"/>
          <w:numId w:val="1019"/>
        </w:numPr>
      </w:pPr>
      <w:hyperlink r:id="rId167">
        <w:r>
          <w:rPr>
            <w:rStyle w:val="Hyperlink"/>
          </w:rPr>
          <w:t xml:space="preserve">../../report_artifacts/command_log.md</w:t>
        </w:r>
      </w:hyperlink>
    </w:p>
    <w:p>
      <w:pPr>
        <w:pStyle w:val="Compact"/>
        <w:numPr>
          <w:ilvl w:val="0"/>
          <w:numId w:val="1019"/>
        </w:numPr>
      </w:pPr>
      <w:hyperlink r:id="rId168">
        <w:r>
          <w:rPr>
            <w:rStyle w:val="Hyperlink"/>
          </w:rPr>
          <w:t xml:space="preserve">../RESULTS_SUMMARY_CURRENT.md</w:t>
        </w:r>
      </w:hyperlink>
    </w:p>
    <w:p>
      <w:pPr>
        <w:pStyle w:val="Compact"/>
        <w:numPr>
          <w:ilvl w:val="0"/>
          <w:numId w:val="1019"/>
        </w:numPr>
      </w:pPr>
      <w:hyperlink r:id="rId169">
        <w:r>
          <w:rPr>
            <w:rStyle w:val="Hyperlink"/>
          </w:rPr>
          <w:t xml:space="preserve">../QWEN_IMAGE_LAYERED_COMPARISON.md</w:t>
        </w:r>
      </w:hyperlink>
    </w:p>
    <w:p>
      <w:pPr>
        <w:pStyle w:val="Compact"/>
        <w:numPr>
          <w:ilvl w:val="0"/>
          <w:numId w:val="1019"/>
        </w:numPr>
      </w:pPr>
      <w:hyperlink r:id="rId170">
        <w:r>
          <w:rPr>
            <w:rStyle w:val="Hyperlink"/>
          </w:rPr>
          <w:t xml:space="preserve">../REPORT_TABLES.md</w:t>
        </w:r>
      </w:hyperlink>
    </w:p>
    <w:p>
      <w:pPr>
        <w:pStyle w:val="Compact"/>
        <w:numPr>
          <w:ilvl w:val="0"/>
          <w:numId w:val="1019"/>
        </w:numPr>
      </w:pPr>
      <w:hyperlink r:id="rId171">
        <w:r>
          <w:rPr>
            <w:rStyle w:val="Hyperlink"/>
          </w:rPr>
          <w:t xml:space="preserve">../FIGURES.md</w:t>
        </w:r>
      </w:hyperlink>
    </w:p>
    <w:p>
      <w:pPr>
        <w:pStyle w:val="Compact"/>
        <w:numPr>
          <w:ilvl w:val="0"/>
          <w:numId w:val="1019"/>
        </w:numPr>
      </w:pPr>
      <w:hyperlink r:id="rId172">
        <w:r>
          <w:rPr>
            <w:rStyle w:val="Hyperlink"/>
          </w:rPr>
          <w:t xml:space="preserve">../PRODUCT_ARCHITECTURE_AND_LAUNCH.md</w:t>
        </w:r>
      </w:hyperlink>
    </w:p>
    <w:p>
      <w:pPr>
        <w:pStyle w:val="Compact"/>
        <w:numPr>
          <w:ilvl w:val="0"/>
          <w:numId w:val="1019"/>
        </w:numPr>
      </w:pPr>
      <w:hyperlink r:id="rId173">
        <w:r>
          <w:rPr>
            <w:rStyle w:val="Hyperlink"/>
          </w:rPr>
          <w:t xml:space="preserve">../api/openapi.yaml</w:t>
        </w:r>
      </w:hyperlink>
    </w:p>
    <w:bookmarkEnd w:id="174"/>
    <w:bookmarkStart w:id="175" w:name="appendix-b-extended-tables-and-ablations"/>
    <w:p>
      <w:pPr>
        <w:pStyle w:val="Heading2"/>
      </w:pPr>
      <w:r>
        <w:t xml:space="preserve">Appendix B: extended tables and ablations</w:t>
      </w:r>
    </w:p>
    <w:bookmarkEnd w:id="175"/>
    <w:bookmarkEnd w:id="176"/>
    <w:bookmarkStart w:id="191" w:name="X45208ce828bed5a4ae76192024806b0334f8216"/>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7"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strongest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7"/>
    <w:bookmarkStart w:id="178" w:name="b.2-frontier-candidate-bank-review"/>
    <w:p>
      <w:pPr>
        <w:pStyle w:val="Heading2"/>
      </w:pPr>
      <w:r>
        <w:t xml:space="preserve">B.2 Frontier candidate-bank review</w:t>
      </w:r>
    </w:p>
    <w:p>
      <w:pPr>
        <w:pStyle w:val="FirstParagraph"/>
      </w:pPr>
      <w:r>
        <w:t xml:space="preserve">The repository contains a measured five-image frontier comparison in</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strongest overall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8"/>
    <w:bookmarkStart w:id="179"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9"/>
    <w:bookmarkStart w:id="180"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80"/>
    <w:bookmarkStart w:id="181"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81"/>
    <w:bookmarkStart w:id="182"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2"/>
    <w:bookmarkStart w:id="183"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83"/>
    <w:bookmarkStart w:id="184"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4"/>
    <w:bookmarkStart w:id="185"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5"/>
    <w:bookmarkStart w:id="186"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033"/>
        <w:gridCol w:w="1033"/>
        <w:gridCol w:w="1033"/>
        <w:gridCol w:w="1033"/>
        <w:gridCol w:w="1377"/>
        <w:gridCol w:w="1377"/>
        <w:gridCol w:w="1033"/>
      </w:tblGrid>
      <w:tr>
        <w:trPr>
          <w:tblHeader w:val="on"/>
        </w:trPr>
        <w:tc>
          <w:tcPr/>
          <w:p>
            <w:pPr>
              <w:pStyle w:val="Compact"/>
            </w:pPr>
            <w:r>
              <w:t xml:space="preserve">Run</w:t>
            </w:r>
          </w:p>
        </w:tc>
        <w:tc>
          <w:tcPr/>
          <w:p>
            <w:pPr>
              <w:pStyle w:val="Compact"/>
            </w:pPr>
            <w:r>
              <w:t xml:space="preserve">Intrinsic method</w:t>
            </w:r>
          </w:p>
        </w:tc>
        <w:tc>
          <w:tcPr/>
          <w:p>
            <w:pPr>
              <w:pStyle w:val="Compact"/>
            </w:pPr>
            <w:r>
              <w:t xml:space="preserve">Global albedo</w:t>
            </w:r>
          </w:p>
        </w:tc>
        <w:tc>
          <w:tcPr/>
          <w:p>
            <w:pPr>
              <w:pStyle w:val="Compact"/>
            </w:pPr>
            <w:r>
              <w:t xml:space="preserve">Global shading</w:t>
            </w:r>
          </w:p>
        </w:tc>
        <w:tc>
          <w:tcPr/>
          <w:p>
            <w:pPr>
              <w:pStyle w:val="Compact"/>
              <w:jc w:val="right"/>
            </w:pPr>
            <w:r>
              <w:t xml:space="preserve">Per-layer albedo exports</w:t>
            </w:r>
          </w:p>
        </w:tc>
        <w:tc>
          <w:tcPr/>
          <w:p>
            <w:pPr>
              <w:pStyle w:val="Compact"/>
              <w:jc w:val="right"/>
            </w:pPr>
            <w:r>
              <w:t xml:space="preserve">Per-layer shading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yes</w:t>
            </w:r>
          </w:p>
        </w:tc>
        <w:tc>
          <w:tcPr/>
          <w:p>
            <w:pPr>
              <w:pStyle w:val="Compact"/>
            </w:pPr>
            <w:r>
              <w:t xml:space="preserve">yes</w:t>
            </w:r>
          </w:p>
        </w:tc>
        <w:tc>
          <w:tcPr/>
          <w:p>
            <w:pPr>
              <w:pStyle w:val="Compact"/>
              <w:jc w:val="right"/>
            </w:pPr>
            <w:r>
              <w:t xml:space="preserve">20</w:t>
            </w:r>
          </w:p>
        </w:tc>
        <w:tc>
          <w:tcPr/>
          <w:p>
            <w:pPr>
              <w:pStyle w:val="Compact"/>
              <w:jc w:val="right"/>
            </w:pPr>
            <w:r>
              <w:t xml:space="preserve">20</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6"/>
    <w:bookmarkStart w:id="187" w:name="appendix-c-command-log"/>
    <w:p>
      <w:pPr>
        <w:pStyle w:val="Heading2"/>
      </w:pPr>
      <w:r>
        <w:t xml:space="preserve">Appendix C: command log</w:t>
      </w:r>
    </w:p>
    <w:p>
      <w:pPr>
        <w:pStyle w:val="Compact"/>
        <w:numPr>
          <w:ilvl w:val="0"/>
          <w:numId w:val="1026"/>
        </w:numPr>
      </w:pPr>
      <w:hyperlink r:id="rId167">
        <w:r>
          <w:rPr>
            <w:rStyle w:val="Hyperlink"/>
          </w:rPr>
          <w:t xml:space="preserve">../../report_artifacts/command_log.md</w:t>
        </w:r>
      </w:hyperlink>
    </w:p>
    <w:bookmarkEnd w:id="187"/>
    <w:bookmarkStart w:id="190" w:name="appendix-d-extra-literature-notes"/>
    <w:p>
      <w:pPr>
        <w:pStyle w:val="Heading2"/>
      </w:pPr>
      <w:r>
        <w:t xml:space="preserve">Appendix D: extra literature notes</w:t>
      </w:r>
    </w:p>
    <w:p>
      <w:pPr>
        <w:pStyle w:val="Compact"/>
        <w:numPr>
          <w:ilvl w:val="0"/>
          <w:numId w:val="1027"/>
        </w:numPr>
      </w:pPr>
      <w:hyperlink r:id="rId188">
        <w:r>
          <w:rPr>
            <w:rStyle w:val="Hyperlink"/>
          </w:rPr>
          <w:t xml:space="preserve">../LITERATURE_REVIEW.md</w:t>
        </w:r>
      </w:hyperlink>
    </w:p>
    <w:p>
      <w:pPr>
        <w:pStyle w:val="Compact"/>
        <w:numPr>
          <w:ilvl w:val="0"/>
          <w:numId w:val="1027"/>
        </w:numPr>
      </w:pPr>
      <w:hyperlink r:id="rId189">
        <w:r>
          <w:rPr>
            <w:rStyle w:val="Hyperlink"/>
          </w:rPr>
          <w:t xml:space="preserve">../REFERENCES.md</w:t>
        </w:r>
      </w:hyperlink>
    </w:p>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43" Target="media/rId14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63" Target="../../PROJECT_MANIFEST.json" TargetMode="External" /><Relationship Type="http://schemas.openxmlformats.org/officeDocument/2006/relationships/hyperlink" Id="rId164" Target="../../report_artifacts/README.md" TargetMode="External" /><Relationship Type="http://schemas.openxmlformats.org/officeDocument/2006/relationships/hyperlink" Id="rId167" Target="../../report_artifacts/command_log.md" TargetMode="External" /><Relationship Type="http://schemas.openxmlformats.org/officeDocument/2006/relationships/hyperlink" Id="rId166" Target="../../report_artifacts/figure_sources/figure_manifest.json" TargetMode="External" /><Relationship Type="http://schemas.openxmlformats.org/officeDocument/2006/relationships/hyperlink" Id="rId165" Target="../../report_artifacts/metrics_snapshots" TargetMode="External" /><Relationship Type="http://schemas.openxmlformats.org/officeDocument/2006/relationships/hyperlink" Id="rId171" Target="../FIGURES.md" TargetMode="External" /><Relationship Type="http://schemas.openxmlformats.org/officeDocument/2006/relationships/hyperlink" Id="rId188" Target="../LITERATURE_REVIEW.md" TargetMode="External" /><Relationship Type="http://schemas.openxmlformats.org/officeDocument/2006/relationships/hyperlink" Id="rId172" Target="../PRODUCT_ARCHITECTURE_AND_LAUNCH.md" TargetMode="External" /><Relationship Type="http://schemas.openxmlformats.org/officeDocument/2006/relationships/hyperlink" Id="rId169"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0" Target="../REPORT_TABLES.md" TargetMode="External" /><Relationship Type="http://schemas.openxmlformats.org/officeDocument/2006/relationships/hyperlink" Id="rId168" Target="../RESULTS_SUMMARY_CURRENT.md" TargetMode="External" /><Relationship Type="http://schemas.openxmlformats.org/officeDocument/2006/relationships/hyperlink" Id="rId173" Target="../api/openapi.yaml" TargetMode="External" /><Relationship Type="http://schemas.openxmlformats.org/officeDocument/2006/relationships/hyperlink" Id="rId159" Target="02_BENCHMARKING_PROTOCOL.md" TargetMode="External" /><Relationship Type="http://schemas.openxmlformats.org/officeDocument/2006/relationships/hyperlink" Id="rId158"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63" Target="../../PROJECT_MANIFEST.json" TargetMode="External" /><Relationship Type="http://schemas.openxmlformats.org/officeDocument/2006/relationships/hyperlink" Id="rId164" Target="../../report_artifacts/README.md" TargetMode="External" /><Relationship Type="http://schemas.openxmlformats.org/officeDocument/2006/relationships/hyperlink" Id="rId167" Target="../../report_artifacts/command_log.md" TargetMode="External" /><Relationship Type="http://schemas.openxmlformats.org/officeDocument/2006/relationships/hyperlink" Id="rId166" Target="../../report_artifacts/figure_sources/figure_manifest.json" TargetMode="External" /><Relationship Type="http://schemas.openxmlformats.org/officeDocument/2006/relationships/hyperlink" Id="rId165" Target="../../report_artifacts/metrics_snapshots" TargetMode="External" /><Relationship Type="http://schemas.openxmlformats.org/officeDocument/2006/relationships/hyperlink" Id="rId171" Target="../FIGURES.md" TargetMode="External" /><Relationship Type="http://schemas.openxmlformats.org/officeDocument/2006/relationships/hyperlink" Id="rId188" Target="../LITERATURE_REVIEW.md" TargetMode="External" /><Relationship Type="http://schemas.openxmlformats.org/officeDocument/2006/relationships/hyperlink" Id="rId172" Target="../PRODUCT_ARCHITECTURE_AND_LAUNCH.md" TargetMode="External" /><Relationship Type="http://schemas.openxmlformats.org/officeDocument/2006/relationships/hyperlink" Id="rId169" Target="../QWEN_IMAGE_LAYERED_COMPARISON.md" TargetMode="External" /><Relationship Type="http://schemas.openxmlformats.org/officeDocument/2006/relationships/hyperlink" Id="rId189" Target="../REFERENCES.md" TargetMode="External" /><Relationship Type="http://schemas.openxmlformats.org/officeDocument/2006/relationships/hyperlink" Id="rId170" Target="../REPORT_TABLES.md" TargetMode="External" /><Relationship Type="http://schemas.openxmlformats.org/officeDocument/2006/relationships/hyperlink" Id="rId168" Target="../RESULTS_SUMMARY_CURRENT.md" TargetMode="External" /><Relationship Type="http://schemas.openxmlformats.org/officeDocument/2006/relationships/hyperlink" Id="rId173" Target="../api/openapi.yaml" TargetMode="External" /><Relationship Type="http://schemas.openxmlformats.org/officeDocument/2006/relationships/hyperlink" Id="rId159" Target="02_BENCHMARKING_PROTOCOL.md" TargetMode="External" /><Relationship Type="http://schemas.openxmlformats.org/officeDocument/2006/relationships/hyperlink" Id="rId158"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2026-04-23T08:38:39Z</dcterms:created>
  <dcterms:modified xsi:type="dcterms:W3CDTF">2026-04-23T08:38:39Z</dcterms:modified>
</cp:coreProperties>
</file>

<file path=docProps/custom.xml><?xml version="1.0" encoding="utf-8"?>
<Properties xmlns="http://schemas.openxmlformats.org/officeDocument/2006/custom-properties" xmlns:vt="http://schemas.openxmlformats.org/officeDocument/2006/docPropsVTypes"/>
</file>