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layerforge-x-final-report"/>
    <w:p>
      <w:pPr>
        <w:pStyle w:val="Heading1"/>
      </w:pPr>
      <w:r>
        <w:t xml:space="preserve">LayerForge-X Final Report</w:t>
      </w:r>
    </w:p>
    <w:bookmarkStart w:id="20" w:name="abstract"/>
    <w:p>
      <w:pPr>
        <w:pStyle w:val="Heading2"/>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2"/>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2"/>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End w:id="23"/>
    <w:bookmarkStart w:id="38" w:name="related-work"/>
    <w:p>
      <w:pPr>
        <w:pStyle w:val="Heading1"/>
      </w:pPr>
      <w:r>
        <w:t xml:space="preserve">3. Related Work</w:t>
      </w:r>
    </w:p>
    <w:bookmarkStart w:id="24"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4"/>
    <w:bookmarkStart w:id="25"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5"/>
    <w:bookmarkStart w:id="26"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6"/>
    <w:bookmarkStart w:id="27"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7"/>
    <w:bookmarkStart w:id="28"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8"/>
    <w:bookmarkStart w:id="29"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9"/>
    <w:bookmarkStart w:id="30"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30"/>
    <w:bookmarkStart w:id="31"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1"/>
    <w:bookmarkStart w:id="32"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2"/>
    <w:bookmarkStart w:id="33"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3"/>
    <w:bookmarkStart w:id="34"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4"/>
    <w:bookmarkStart w:id="35"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5"/>
    <w:bookmarkStart w:id="36"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6"/>
    <w:bookmarkStart w:id="37"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62" w:name="method"/>
    <w:p>
      <w:pPr>
        <w:pStyle w:val="Heading1"/>
      </w:pPr>
      <w:r>
        <w:t xml:space="preserve">4. Method</w:t>
      </w:r>
    </w:p>
    <w:bookmarkStart w:id="39"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9"/>
    <w:bookmarkStart w:id="40"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40"/>
    <w:bookmarkStart w:id="44" w:name="boundary-weighted-occlusion-graph"/>
    <w:p>
      <w:pPr>
        <w:pStyle w:val="Heading2"/>
      </w:pPr>
      <w:r>
        <w:t xml:space="preserve">4.3 Boundary-weighted occlusion graph</w:t>
      </w:r>
    </w:p>
    <w:bookmarkStart w:id="41"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1"/>
    <w:bookmarkStart w:id="42"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2"/>
    <w:bookmarkStart w:id="43"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3"/>
    <w:bookmarkEnd w:id="44"/>
    <w:bookmarkStart w:id="45"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5"/>
    <w:bookmarkStart w:id="46"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6"/>
    <w:bookmarkStart w:id="47"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r>
        <w:br/>
      </w:r>
      <w:r>
        <w:rPr>
          <w:rStyle w:val="VerbatimChar"/>
        </w:rPr>
        <w:t xml:space="preserve">runtime</w:t>
      </w:r>
    </w:p>
    <w:p>
      <w:pPr>
        <w:pStyle w:val="FirstParagraph"/>
      </w:pPr>
      <w:r>
        <w:t xml:space="preserve">The current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r>
        <w:br/>
      </w:r>
      <w:r>
        <w:rPr>
          <w:rStyle w:val="VerbatimChar"/>
        </w:rPr>
        <w:t xml:space="preserve">      + 0.10 * runtime</w:t>
      </w:r>
    </w:p>
    <w:p>
      <w:pPr>
        <w:pStyle w:val="FirstParagraph"/>
      </w:pPr>
      <w:r>
        <w:t xml:space="preserve">This formulation turns the repository into a self-evaluating layer-representation system rather than a single fixed pipeline.</w:t>
      </w:r>
    </w:p>
    <w:bookmarkEnd w:id="47"/>
    <w:bookmarkStart w:id="48"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8"/>
    <w:bookmarkStart w:id="49"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A simple heuristic is used in the current repository:</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9"/>
    <w:bookmarkStart w:id="50"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50"/>
    <w:bookmarkStart w:id="60" w:name="full-pipeline"/>
    <w:p>
      <w:pPr>
        <w:pStyle w:val="Heading2"/>
      </w:pPr>
      <w:r>
        <w:t xml:space="preserve">4.10 Full pipeline</w:t>
      </w:r>
    </w:p>
    <w:bookmarkStart w:id="51"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1"/>
    <w:bookmarkStart w:id="52"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2"/>
    <w:bookmarkStart w:id="53"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3"/>
    <w:bookmarkStart w:id="54"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4"/>
    <w:bookmarkStart w:id="55"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5"/>
    <w:bookmarkStart w:id="56" w:name="step-6-amodal-expansion"/>
    <w:p>
      <w:pPr>
        <w:pStyle w:val="Heading3"/>
      </w:pPr>
      <w:r>
        <w:t xml:space="preserve">Step 6: Amodal expansion</w:t>
      </w:r>
    </w:p>
    <w:p>
      <w:pPr>
        <w:pStyle w:val="FirstParagraph"/>
      </w:pPr>
      <w:r>
        <w:t xml:space="preserve">Full object masks and hidden regions are estimated conservatively.</w:t>
      </w:r>
    </w:p>
    <w:bookmarkEnd w:id="56"/>
    <w:bookmarkStart w:id="57"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7"/>
    <w:bookmarkStart w:id="58"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8"/>
    <w:bookmarkStart w:id="59"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9"/>
    <w:bookmarkEnd w:id="60"/>
    <w:bookmarkStart w:id="61"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1"/>
    <w:bookmarkEnd w:id="62"/>
    <w:bookmarkStart w:id="64" w:name="experiments-and-evaluation-protocol"/>
    <w:p>
      <w:pPr>
        <w:pStyle w:val="Heading1"/>
      </w:pPr>
      <w:r>
        <w:t xml:space="preserve">5. Experiments and Evaluation Protocol</w:t>
      </w:r>
    </w:p>
    <w:bookmarkStart w:id="63"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evidence pack for reported numbers.</w:t>
      </w:r>
      <w:r>
        <w:t xml:space="preserve"> </w:t>
      </w:r>
      <w:r>
        <w:rPr>
          <w:rStyle w:val="VerbatimChar"/>
        </w:rPr>
        <w:t xml:space="preserve">docs/RESULTS_SUMMARY_CURRENT.md</w:t>
      </w:r>
      <w:r>
        <w:t xml:space="preserve"> </w:t>
      </w:r>
      <w:r>
        <w:t xml:space="preserve">is the human-readable bridge to those artifacts.</w:t>
      </w:r>
    </w:p>
    <w:p>
      <w:r>
        <w:pict>
          <v:rect style="width:0;height:1.5pt" o:hralign="center" o:hrstd="t" o:hr="t"/>
        </w:pict>
      </w:r>
    </w:p>
    <w:bookmarkEnd w:id="63"/>
    <w:bookmarkEnd w:id="64"/>
    <w:bookmarkStart w:id="71" w:name="X7a87aa1dde06681bd6d7c1618e0fa5e1bc532e2"/>
    <w:p>
      <w:pPr>
        <w:pStyle w:val="Heading1"/>
      </w:pPr>
      <w:r>
        <w:t xml:space="preserve">Track A: Modal semantic / panoptic segmentation</w:t>
      </w:r>
    </w:p>
    <w:bookmarkStart w:id="65"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5"/>
    <w:bookmarkStart w:id="68" w:name="metrics"/>
    <w:p>
      <w:pPr>
        <w:pStyle w:val="Heading2"/>
      </w:pPr>
      <w:r>
        <w:t xml:space="preserve">Metrics</w:t>
      </w:r>
    </w:p>
    <w:bookmarkStart w:id="66"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6"/>
    <w:bookmarkStart w:id="67"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7"/>
    <w:bookmarkEnd w:id="68"/>
    <w:bookmarkStart w:id="69"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9"/>
    <w:bookmarkStart w:id="70"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70"/>
    <w:bookmarkEnd w:id="71"/>
    <w:bookmarkStart w:id="81" w:name="X9611b6e4d697ea7334b585b246db2fe47091bb5"/>
    <w:p>
      <w:pPr>
        <w:pStyle w:val="Heading1"/>
      </w:pPr>
      <w:r>
        <w:t xml:space="preserve">Track B: Depth-order and occlusion-graph quality</w:t>
      </w:r>
    </w:p>
    <w:bookmarkStart w:id="72"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2"/>
    <w:bookmarkStart w:id="73"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3"/>
    <w:bookmarkStart w:id="74"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4"/>
    <w:bookmarkStart w:id="79" w:name="metrics-1"/>
    <w:p>
      <w:pPr>
        <w:pStyle w:val="Heading2"/>
      </w:pPr>
      <w:r>
        <w:t xml:space="preserve">Metrics</w:t>
      </w:r>
    </w:p>
    <w:bookmarkStart w:id="75"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5"/>
    <w:bookmarkStart w:id="76"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6"/>
    <w:bookmarkStart w:id="77"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7"/>
    <w:bookmarkStart w:id="78"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 it’s a cleaner single number than PLOA when the order is fully defined.</w:t>
      </w:r>
    </w:p>
    <w:bookmarkEnd w:id="78"/>
    <w:bookmarkEnd w:id="79"/>
    <w:bookmarkStart w:id="80"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0"/>
    <w:bookmarkEnd w:id="81"/>
    <w:bookmarkStart w:id="90" w:name="track-c-rgba-recomposition-fidelity"/>
    <w:p>
      <w:pPr>
        <w:pStyle w:val="Heading1"/>
      </w:pPr>
      <w:r>
        <w:t xml:space="preserve">Track C: RGBA recomposition fidelity</w:t>
      </w:r>
    </w:p>
    <w:bookmarkStart w:id="82"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2"/>
    <w:bookmarkStart w:id="83"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3"/>
    <w:bookmarkStart w:id="88" w:name="metrics-2"/>
    <w:p>
      <w:pPr>
        <w:pStyle w:val="Heading2"/>
      </w:pPr>
      <w:r>
        <w:t xml:space="preserve">Metrics</w:t>
      </w:r>
    </w:p>
    <w:bookmarkStart w:id="84"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4"/>
    <w:bookmarkStart w:id="85" w:name="structural-similarity"/>
    <w:p>
      <w:pPr>
        <w:pStyle w:val="Heading3"/>
      </w:pPr>
      <w:r>
        <w:t xml:space="preserve">Structural similarity</w:t>
      </w:r>
    </w:p>
    <w:p>
      <w:pPr>
        <w:pStyle w:val="FirstParagraph"/>
      </w:pPr>
      <w:r>
        <w:t xml:space="preserve">SSIM or MS-SSIM.</w:t>
      </w:r>
    </w:p>
    <w:bookmarkEnd w:id="85"/>
    <w:bookmarkStart w:id="86" w:name="perceptual-similarity"/>
    <w:p>
      <w:pPr>
        <w:pStyle w:val="Heading3"/>
      </w:pPr>
      <w:r>
        <w:t xml:space="preserve">Perceptual similarity</w:t>
      </w:r>
    </w:p>
    <w:p>
      <w:pPr>
        <w:pStyle w:val="FirstParagraph"/>
      </w:pPr>
      <w:r>
        <w:t xml:space="preserve">LPIPS if it’s available. Lower is better.</w:t>
      </w:r>
    </w:p>
    <w:bookmarkEnd w:id="86"/>
    <w:bookmarkStart w:id="87"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7"/>
    <w:bookmarkEnd w:id="88"/>
    <w:bookmarkStart w:id="89"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9"/>
    <w:bookmarkEnd w:id="90"/>
    <w:bookmarkStart w:id="98" w:name="Xea7f79f5580e95207963157529789df046a2153"/>
    <w:p>
      <w:pPr>
        <w:pStyle w:val="Heading1"/>
      </w:pPr>
      <w:r>
        <w:t xml:space="preserve">Track D: Amodal mask and hidden-region completion</w:t>
      </w:r>
    </w:p>
    <w:bookmarkStart w:id="91"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1"/>
    <w:bookmarkStart w:id="96" w:name="metrics-3"/>
    <w:p>
      <w:pPr>
        <w:pStyle w:val="Heading2"/>
      </w:pPr>
      <w:r>
        <w:t xml:space="preserve">Metrics</w:t>
      </w:r>
    </w:p>
    <w:bookmarkStart w:id="92"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2"/>
    <w:bookmarkStart w:id="93"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3"/>
    <w:bookmarkStart w:id="94"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4"/>
    <w:bookmarkStart w:id="95"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5"/>
    <w:bookmarkEnd w:id="96"/>
    <w:bookmarkStart w:id="97"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7"/>
    <w:bookmarkEnd w:id="98"/>
    <w:bookmarkStart w:id="105" w:name="track-e-intrinsic-albedoshading-split"/>
    <w:p>
      <w:pPr>
        <w:pStyle w:val="Heading1"/>
      </w:pPr>
      <w:r>
        <w:t xml:space="preserve">Track E: Intrinsic albedo/shading split</w:t>
      </w:r>
    </w:p>
    <w:bookmarkStart w:id="99"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9"/>
    <w:bookmarkStart w:id="103" w:name="metrics-4"/>
    <w:p>
      <w:pPr>
        <w:pStyle w:val="Heading2"/>
      </w:pPr>
      <w:r>
        <w:t xml:space="preserve">Metrics</w:t>
      </w:r>
    </w:p>
    <w:bookmarkStart w:id="100" w:name="whdr-on-iiw"/>
    <w:p>
      <w:pPr>
        <w:pStyle w:val="Heading3"/>
      </w:pPr>
      <w:r>
        <w:t xml:space="preserve">WHDR on IIW</w:t>
      </w:r>
    </w:p>
    <w:p>
      <w:pPr>
        <w:pStyle w:val="FirstParagraph"/>
      </w:pPr>
      <w:r>
        <w:t xml:space="preserve">WHDR measures whether predicted reflectance comparisons agree with human judgments. Lower is better.</w:t>
      </w:r>
    </w:p>
    <w:bookmarkEnd w:id="100"/>
    <w:bookmarkStart w:id="101"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1"/>
    <w:bookmarkStart w:id="102"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2"/>
    <w:bookmarkEnd w:id="103"/>
    <w:bookmarkStart w:id="104"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4"/>
    <w:bookmarkEnd w:id="105"/>
    <w:bookmarkStart w:id="113" w:name="track-f-editability-evaluation"/>
    <w:p>
      <w:pPr>
        <w:pStyle w:val="Heading1"/>
      </w:pPr>
      <w:r>
        <w:t xml:space="preserve">Track F: Editability evaluation</w:t>
      </w:r>
    </w:p>
    <w:bookmarkStart w:id="106" w:name="why-this-matters-2"/>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06"/>
    <w:bookmarkStart w:id="107"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7"/>
    <w:bookmarkStart w:id="111" w:name="metrics-5"/>
    <w:p>
      <w:pPr>
        <w:pStyle w:val="Heading2"/>
      </w:pPr>
      <w:r>
        <w:t xml:space="preserve">Metrics</w:t>
      </w:r>
    </w:p>
    <w:bookmarkStart w:id="108"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8"/>
    <w:bookmarkStart w:id="109"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9"/>
    <w:bookmarkStart w:id="110"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10"/>
    <w:bookmarkEnd w:id="111"/>
    <w:bookmarkStart w:id="112"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2"/>
    <w:bookmarkEnd w:id="113"/>
    <w:bookmarkStart w:id="118"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14"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4"/>
    <w:bookmarkStart w:id="115"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5"/>
    <w:bookmarkStart w:id="116"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6"/>
    <w:bookmarkStart w:id="117"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7"/>
    <w:bookmarkEnd w:id="118"/>
    <w:bookmarkStart w:id="120"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19"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9"/>
    <w:bookmarkEnd w:id="120"/>
    <w:bookmarkStart w:id="121" w:name="visual-evidence-set"/>
    <w:p>
      <w:pPr>
        <w:pStyle w:val="Heading1"/>
      </w:pPr>
      <w:r>
        <w:t xml:space="preserve">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21"/>
    <w:bookmarkStart w:id="122" w:name="failure-case-taxonomy"/>
    <w:p>
      <w:pPr>
        <w:pStyle w:val="Heading1"/>
      </w:pPr>
      <w:r>
        <w:t xml:space="preserve">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2"/>
    <w:bookmarkStart w:id="158"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Start w:id="152" w:name="results"/>
    <w:p>
      <w:pPr>
        <w:pStyle w:val="Heading2"/>
      </w:pPr>
      <w:r>
        <w:t xml:space="preserve">6. Results</w:t>
      </w:r>
    </w:p>
    <w:bookmarkStart w:id="143"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3165230"/>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3165230"/>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2227384"/>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2227384"/>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872153"/>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Associated-effect demo</w:t>
      </w:r>
    </w:p>
    <w:bookmarkEnd w:id="142"/>
    <w:bookmarkEnd w:id="143"/>
    <w:bookmarkStart w:id="150"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Q+G</w:t>
      </w:r>
      <w:r>
        <w:t xml:space="preserve"> </w:t>
      </w:r>
      <w:r>
        <w:t xml:space="preserve">= Qwen plus LayerForge graph enrichment.</w:t>
      </w:r>
    </w:p>
    <w:bookmarkStart w:id="144" w:name="five-image-qwen-raw-versus-hybrid-review"/>
    <w:p>
      <w:pPr>
        <w:pStyle w:val="Heading4"/>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bookmarkEnd w:id="144"/>
    <w:bookmarkStart w:id="145" w:name="associated-effect-demo"/>
    <w:p>
      <w:pPr>
        <w:pStyle w:val="Heading4"/>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bookmarkEnd w:id="145"/>
    <w:bookmarkStart w:id="146" w:name="X0e9e3f984752b954aaab98655e513f4cd780034"/>
    <w:p>
      <w:pPr>
        <w:pStyle w:val="Heading4"/>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46"/>
    <w:bookmarkStart w:id="147" w:name="five-image-editability-suite"/>
    <w:p>
      <w:pPr>
        <w:pStyle w:val="Heading4"/>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bookmarkEnd w:id="147"/>
    <w:bookmarkStart w:id="148"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48"/>
    <w:bookmarkStart w:id="149"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49"/>
    <w:bookmarkEnd w:id="150"/>
    <w:bookmarkStart w:id="151"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fair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16"/>
        </w:numPr>
      </w:pPr>
      <w:r>
        <w:t xml:space="preserve">The editability suite is the anti-triviality guardrail for the selector,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bookmarkEnd w:id="151"/>
    <w:bookmarkEnd w:id="152"/>
    <w:bookmarkStart w:id="153" w:name="discussion"/>
    <w:p>
      <w:pPr>
        <w:pStyle w:val="Heading2"/>
      </w:pPr>
      <w:r>
        <w:t xml:space="preserve">7. Discussion</w:t>
      </w:r>
    </w:p>
    <w:p>
      <w:pPr>
        <w:pStyle w:val="FirstParagraph"/>
      </w:pPr>
      <w:r>
        <w:t xml:space="preserve">The strongest reading of the current results is not that LayerForge-X universally beats generative decomposers on raw pixels. The stronger claim is that it turns native, generative, and recursive decompositions into one explicit editable graph representation with auditable metrics and exportable structure. Qwen remains the right generative RGBA baseline. LayerForge-X remains strongest when framed as a graph-aware, benchmarkable, editability-oriented complement to that frontier.</w:t>
      </w:r>
    </w:p>
    <w:bookmarkEnd w:id="153"/>
    <w:bookmarkStart w:id="156" w:name="limitations"/>
    <w:p>
      <w:pPr>
        <w:pStyle w:val="Heading2"/>
      </w:pPr>
      <w:r>
        <w:t xml:space="preserve">8. Limitations</w:t>
      </w:r>
    </w:p>
    <w:p>
      <w:pPr>
        <w:pStyle w:val="FirstParagraph"/>
      </w:pPr>
      <w:r>
        <w:t xml:space="preserve">Failure taxonomy and future-work framing are documented in</w:t>
      </w:r>
      <w:r>
        <w:t xml:space="preserve"> </w:t>
      </w:r>
      <w:hyperlink r:id="rId154">
        <w:r>
          <w:rPr>
            <w:rStyle w:val="Hyperlink"/>
          </w:rPr>
          <w:t xml:space="preserve">04_ABLATIONS_AND_TABLES.md</w:t>
        </w:r>
      </w:hyperlink>
      <w:r>
        <w:t xml:space="preserve"> </w:t>
      </w:r>
      <w:r>
        <w:t xml:space="preserve">and</w:t>
      </w:r>
      <w:r>
        <w:t xml:space="preserve"> </w:t>
      </w:r>
      <w:hyperlink r:id="rId155">
        <w:r>
          <w:rPr>
            <w:rStyle w:val="Hyperlink"/>
          </w:rPr>
          <w:t xml:space="preserve">02_BENCHMARKING_PROTOCOL.md</w:t>
        </w:r>
      </w:hyperlink>
      <w:r>
        <w:t xml:space="preserve">.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56"/>
    <w:bookmarkStart w:id="157" w:name="conclusion"/>
    <w:p>
      <w:pPr>
        <w:pStyle w:val="Heading2"/>
      </w:pPr>
      <w:r>
        <w:t xml:space="preserve">9. Conclusion</w:t>
      </w:r>
    </w:p>
    <w:p>
      <w:pPr>
        <w:pStyle w:val="FirstParagraph"/>
      </w:pPr>
      <w:r>
        <w:t xml:space="preserve">LayerForge-X is now best understood as a self-evaluating layer-representation system rather than a simple decomposition script. It can produce native graph layers, enrich frontier RGBA layers, run recursive peeling, measure editability, benchmark prompt extraction, approximate transparent recovery, and export a canonical DALG manifest. That combination is the core project contribution.</w:t>
      </w:r>
    </w:p>
    <w:bookmarkEnd w:id="157"/>
    <w:bookmarkEnd w:id="158"/>
    <w:bookmarkStart w:id="172" w:name="references"/>
    <w:p>
      <w:pPr>
        <w:pStyle w:val="Heading1"/>
      </w:pPr>
      <w:r>
        <w:t xml:space="preserve">10. References</w:t>
      </w:r>
    </w:p>
    <w:p>
      <w:pPr>
        <w:pStyle w:val="Compact"/>
        <w:numPr>
          <w:ilvl w:val="0"/>
          <w:numId w:val="1018"/>
        </w:numPr>
      </w:pPr>
      <w:r>
        <w:t xml:space="preserve">Shade, J., Gortler, S., He, L., and Szeliski, R. Layered Depth Images. SIGGRAPH 1998.</w:t>
      </w:r>
    </w:p>
    <w:p>
      <w:pPr>
        <w:pStyle w:val="Compact"/>
        <w:numPr>
          <w:ilvl w:val="0"/>
          <w:numId w:val="1018"/>
        </w:numPr>
      </w:pPr>
      <w:r>
        <w:t xml:space="preserve">Shih, M.-L., Su, S.-Y., Kopf, J., and Huang, J.-B. 3D Photography using Context-aware Layered Depth Inpainting. CVPR 2020.</w:t>
      </w:r>
    </w:p>
    <w:p>
      <w:pPr>
        <w:pStyle w:val="Compact"/>
        <w:numPr>
          <w:ilvl w:val="0"/>
          <w:numId w:val="1018"/>
        </w:numPr>
      </w:pPr>
      <w:r>
        <w:t xml:space="preserve">Kirillov, A. et al. Panoptic Segmentation. CVPR 2019.</w:t>
      </w:r>
    </w:p>
    <w:p>
      <w:pPr>
        <w:pStyle w:val="Compact"/>
        <w:numPr>
          <w:ilvl w:val="0"/>
          <w:numId w:val="1018"/>
        </w:numPr>
      </w:pPr>
      <w:r>
        <w:t xml:space="preserve">Cheng, B. et al. Mask2Former for Universal Image Segmentation. CVPR 2022.</w:t>
      </w:r>
    </w:p>
    <w:p>
      <w:pPr>
        <w:pStyle w:val="Compact"/>
        <w:numPr>
          <w:ilvl w:val="0"/>
          <w:numId w:val="1018"/>
        </w:numPr>
      </w:pPr>
      <w:r>
        <w:t xml:space="preserve">Liu, S. et al. Grounding DINO: Marrying DINO with Grounded Pre-Training for Open-Set Object Detection. ECCV 2024 / arXiv 2023.</w:t>
      </w:r>
    </w:p>
    <w:p>
      <w:pPr>
        <w:pStyle w:val="Compact"/>
        <w:numPr>
          <w:ilvl w:val="0"/>
          <w:numId w:val="1018"/>
        </w:numPr>
      </w:pPr>
      <w:r>
        <w:t xml:space="preserve">Ravi, N. et al. SAM 2: Segment Anything in Images and Videos. 2024.</w:t>
      </w:r>
    </w:p>
    <w:p>
      <w:pPr>
        <w:pStyle w:val="Compact"/>
        <w:numPr>
          <w:ilvl w:val="0"/>
          <w:numId w:val="1018"/>
        </w:numPr>
      </w:pPr>
      <w:r>
        <w:t xml:space="preserve">Xiao, B. et al. Florence-2: Advancing a Unified Representation for a Variety of Vision Tasks. CVPR 2024.</w:t>
      </w:r>
    </w:p>
    <w:p>
      <w:pPr>
        <w:pStyle w:val="Compact"/>
        <w:numPr>
          <w:ilvl w:val="0"/>
          <w:numId w:val="1018"/>
        </w:numPr>
      </w:pPr>
      <w:r>
        <w:t xml:space="preserve">Bochkovskiy, A. et al. Depth Pro: Sharp Monocular Metric Depth in Less Than a Second. 2024.</w:t>
      </w:r>
    </w:p>
    <w:p>
      <w:pPr>
        <w:pStyle w:val="Compact"/>
        <w:numPr>
          <w:ilvl w:val="0"/>
          <w:numId w:val="1018"/>
        </w:numPr>
      </w:pPr>
      <w:r>
        <w:t xml:space="preserve">Yang, Y. et al. Generative Image Layer Decomposition with Visual Effects. CVPR 2025.</w:t>
      </w:r>
    </w:p>
    <w:p>
      <w:pPr>
        <w:pStyle w:val="Compact"/>
        <w:numPr>
          <w:ilvl w:val="0"/>
          <w:numId w:val="1018"/>
        </w:numPr>
      </w:pPr>
      <w:r>
        <w:t xml:space="preserve">DiffDecompose: Layer-Wise Decomposition of Alpha-Composited Images via Diffusion Transformers. arXiv 2025.</w:t>
      </w:r>
    </w:p>
    <w:p>
      <w:pPr>
        <w:pStyle w:val="Compact"/>
        <w:numPr>
          <w:ilvl w:val="0"/>
          <w:numId w:val="1018"/>
        </w:numPr>
      </w:pPr>
      <w:r>
        <w:t xml:space="preserve">Referring Layer Decomposition. arXiv 2026.</w:t>
      </w:r>
    </w:p>
    <w:p>
      <w:pPr>
        <w:pStyle w:val="Compact"/>
        <w:numPr>
          <w:ilvl w:val="0"/>
          <w:numId w:val="1018"/>
        </w:numPr>
      </w:pPr>
      <w:r>
        <w:t xml:space="preserve">Qwen-Image-Layered: Towards Inherent Editability via Layer Decomposition. 2025.</w:t>
      </w:r>
    </w:p>
    <w:p>
      <w:pPr>
        <w:pStyle w:val="Compact"/>
        <w:numPr>
          <w:ilvl w:val="0"/>
          <w:numId w:val="1018"/>
        </w:numPr>
      </w:pPr>
      <w:r>
        <w:t xml:space="preserve">Yao, J. et al. Matte Anything. 2024.</w:t>
      </w:r>
    </w:p>
    <w:p>
      <w:pPr>
        <w:pStyle w:val="Compact"/>
        <w:numPr>
          <w:ilvl w:val="0"/>
          <w:numId w:val="1018"/>
        </w:numPr>
      </w:pPr>
      <w:r>
        <w:t xml:space="preserve">Suvorov, R. et al. Resolution-robust Large Mask Inpainting with Fourier Convolutions. WACV 2022.</w:t>
      </w:r>
    </w:p>
    <w:p>
      <w:pPr>
        <w:pStyle w:val="Compact"/>
        <w:numPr>
          <w:ilvl w:val="0"/>
          <w:numId w:val="1018"/>
        </w:numPr>
      </w:pPr>
      <w:r>
        <w:t xml:space="preserve">Bell, S. et al. Intrinsic Images in the Wild. SIGGRAPH 2014.</w:t>
      </w:r>
    </w:p>
    <w:p>
      <w:pPr>
        <w:pStyle w:val="Compact"/>
        <w:numPr>
          <w:ilvl w:val="0"/>
          <w:numId w:val="1018"/>
        </w:numPr>
      </w:pPr>
      <w:r>
        <w:t xml:space="preserve">Tai, Y. et al. Segment Anything, Even Occluded. 2025.</w:t>
      </w:r>
    </w:p>
    <w:bookmarkStart w:id="170" w:name="appendix-a-artifact-map"/>
    <w:p>
      <w:pPr>
        <w:pStyle w:val="Heading2"/>
      </w:pPr>
      <w:r>
        <w:t xml:space="preserve">Appendix A: artifact map</w:t>
      </w:r>
    </w:p>
    <w:p>
      <w:pPr>
        <w:pStyle w:val="FirstParagraph"/>
      </w:pPr>
      <w:r>
        <w:t xml:space="preserve">Submission source-of-truth files:</w:t>
      </w:r>
    </w:p>
    <w:p>
      <w:pPr>
        <w:pStyle w:val="Compact"/>
        <w:numPr>
          <w:ilvl w:val="0"/>
          <w:numId w:val="1019"/>
        </w:numPr>
      </w:pPr>
      <w:hyperlink r:id="rId159">
        <w:r>
          <w:rPr>
            <w:rStyle w:val="Hyperlink"/>
          </w:rPr>
          <w:t xml:space="preserve">../../PROJECT_MANIFEST.json</w:t>
        </w:r>
      </w:hyperlink>
    </w:p>
    <w:p>
      <w:pPr>
        <w:pStyle w:val="Compact"/>
        <w:numPr>
          <w:ilvl w:val="0"/>
          <w:numId w:val="1019"/>
        </w:numPr>
      </w:pPr>
      <w:hyperlink r:id="rId160">
        <w:r>
          <w:rPr>
            <w:rStyle w:val="Hyperlink"/>
          </w:rPr>
          <w:t xml:space="preserve">../../report_artifacts/README.md</w:t>
        </w:r>
      </w:hyperlink>
    </w:p>
    <w:p>
      <w:pPr>
        <w:pStyle w:val="Compact"/>
        <w:numPr>
          <w:ilvl w:val="0"/>
          <w:numId w:val="1019"/>
        </w:numPr>
      </w:pPr>
      <w:hyperlink r:id="rId161">
        <w:r>
          <w:rPr>
            <w:rStyle w:val="Hyperlink"/>
          </w:rPr>
          <w:t xml:space="preserve">../../report_artifacts/metrics_snapshots/</w:t>
        </w:r>
      </w:hyperlink>
    </w:p>
    <w:p>
      <w:pPr>
        <w:pStyle w:val="Compact"/>
        <w:numPr>
          <w:ilvl w:val="0"/>
          <w:numId w:val="1019"/>
        </w:numPr>
      </w:pPr>
      <w:hyperlink r:id="rId162">
        <w:r>
          <w:rPr>
            <w:rStyle w:val="Hyperlink"/>
          </w:rPr>
          <w:t xml:space="preserve">../../report_artifacts/figure_sources/figure_manifest.json</w:t>
        </w:r>
      </w:hyperlink>
    </w:p>
    <w:p>
      <w:pPr>
        <w:pStyle w:val="Compact"/>
        <w:numPr>
          <w:ilvl w:val="0"/>
          <w:numId w:val="1019"/>
        </w:numPr>
      </w:pPr>
      <w:hyperlink r:id="rId163">
        <w:r>
          <w:rPr>
            <w:rStyle w:val="Hyperlink"/>
          </w:rPr>
          <w:t xml:space="preserve">../../report_artifacts/command_log.md</w:t>
        </w:r>
      </w:hyperlink>
    </w:p>
    <w:p>
      <w:pPr>
        <w:pStyle w:val="Compact"/>
        <w:numPr>
          <w:ilvl w:val="0"/>
          <w:numId w:val="1019"/>
        </w:numPr>
      </w:pPr>
      <w:hyperlink r:id="rId164">
        <w:r>
          <w:rPr>
            <w:rStyle w:val="Hyperlink"/>
          </w:rPr>
          <w:t xml:space="preserve">../RESULTS_SUMMARY_CURRENT.md</w:t>
        </w:r>
      </w:hyperlink>
    </w:p>
    <w:p>
      <w:pPr>
        <w:pStyle w:val="Compact"/>
        <w:numPr>
          <w:ilvl w:val="0"/>
          <w:numId w:val="1019"/>
        </w:numPr>
      </w:pPr>
      <w:hyperlink r:id="rId165">
        <w:r>
          <w:rPr>
            <w:rStyle w:val="Hyperlink"/>
          </w:rPr>
          <w:t xml:space="preserve">../QWEN_IMAGE_LAYERED_COMPARISON.md</w:t>
        </w:r>
      </w:hyperlink>
    </w:p>
    <w:p>
      <w:pPr>
        <w:pStyle w:val="Compact"/>
        <w:numPr>
          <w:ilvl w:val="0"/>
          <w:numId w:val="1019"/>
        </w:numPr>
      </w:pPr>
      <w:hyperlink r:id="rId166">
        <w:r>
          <w:rPr>
            <w:rStyle w:val="Hyperlink"/>
          </w:rPr>
          <w:t xml:space="preserve">../REPORT_TABLES.md</w:t>
        </w:r>
      </w:hyperlink>
    </w:p>
    <w:p>
      <w:pPr>
        <w:pStyle w:val="Compact"/>
        <w:numPr>
          <w:ilvl w:val="0"/>
          <w:numId w:val="1019"/>
        </w:numPr>
      </w:pPr>
      <w:hyperlink r:id="rId167">
        <w:r>
          <w:rPr>
            <w:rStyle w:val="Hyperlink"/>
          </w:rPr>
          <w:t xml:space="preserve">../FIGURES.md</w:t>
        </w:r>
      </w:hyperlink>
    </w:p>
    <w:p>
      <w:pPr>
        <w:pStyle w:val="Compact"/>
        <w:numPr>
          <w:ilvl w:val="0"/>
          <w:numId w:val="1019"/>
        </w:numPr>
      </w:pPr>
      <w:hyperlink r:id="rId168">
        <w:r>
          <w:rPr>
            <w:rStyle w:val="Hyperlink"/>
          </w:rPr>
          <w:t xml:space="preserve">../PRODUCT_ARCHITECTURE_AND_LAUNCH.md</w:t>
        </w:r>
      </w:hyperlink>
    </w:p>
    <w:p>
      <w:pPr>
        <w:pStyle w:val="Compact"/>
        <w:numPr>
          <w:ilvl w:val="0"/>
          <w:numId w:val="1019"/>
        </w:numPr>
      </w:pPr>
      <w:hyperlink r:id="rId169">
        <w:r>
          <w:rPr>
            <w:rStyle w:val="Hyperlink"/>
          </w:rPr>
          <w:t xml:space="preserve">../api/openapi.yaml</w:t>
        </w:r>
      </w:hyperlink>
    </w:p>
    <w:bookmarkEnd w:id="170"/>
    <w:bookmarkStart w:id="171" w:name="appendix-b-extended-tables-and-ablations"/>
    <w:p>
      <w:pPr>
        <w:pStyle w:val="Heading2"/>
      </w:pPr>
      <w:r>
        <w:t xml:space="preserve">Appendix B: extended tables and ablations</w:t>
      </w:r>
    </w:p>
    <w:bookmarkEnd w:id="171"/>
    <w:bookmarkEnd w:id="172"/>
    <w:bookmarkStart w:id="186" w:name="X45208ce828bed5a4ae76192024806b0334f8216"/>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3" w:name="b.1-completed-runs-snapshot"/>
    <w:p>
      <w:pPr>
        <w:pStyle w:val="Heading2"/>
      </w:pPr>
      <w:r>
        <w:t xml:space="preserve">B.1 Completed runs snapshot</w:t>
      </w:r>
    </w:p>
    <w:p>
      <w:pPr>
        <w:pStyle w:val="FirstParagraph"/>
      </w:pPr>
      <w:r>
        <w:t xml:space="preserve">The rows below are measured runs rather than placeholders:</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strongest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3"/>
    <w:bookmarkStart w:id="174" w:name="b.2-frontier-candidate-bank-review"/>
    <w:p>
      <w:pPr>
        <w:pStyle w:val="Heading2"/>
      </w:pPr>
      <w:r>
        <w:t xml:space="preserve">B.2 Frontier candidate-bank review</w:t>
      </w:r>
    </w:p>
    <w:p>
      <w:pPr>
        <w:pStyle w:val="FirstParagraph"/>
      </w:pPr>
      <w:r>
        <w:t xml:space="preserve">The repository contains a measured five-image frontier comparison in</w:t>
      </w:r>
      <w:r>
        <w:t xml:space="preserve"> </w:t>
      </w:r>
      <w:r>
        <w:rPr>
          <w:rStyle w:val="VerbatimChar"/>
        </w:rPr>
        <w:t xml:space="preserve">runs/frontier_review/frontier_summary.json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strongest overall candidate-bank row under the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4"/>
    <w:bookmarkStart w:id="175"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acts as the anti-triviality guardrail for the frontier selector;</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5"/>
    <w:bookmarkStart w:id="176"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3"/>
        </w:numPr>
      </w:pPr>
      <w:r>
        <w:t xml:space="preserve">text-bearing prompts identify the intended semantic target on the measured synthetic set;</w:t>
      </w:r>
    </w:p>
    <w:p>
      <w:pPr>
        <w:pStyle w:val="Compact"/>
        <w:numPr>
          <w:ilvl w:val="0"/>
          <w:numId w:val="1023"/>
        </w:numPr>
      </w:pPr>
      <w:r>
        <w:t xml:space="preserve">point-only and box-only prompts still achieve high overlap while missing the semantic target;</w:t>
      </w:r>
    </w:p>
    <w:p>
      <w:pPr>
        <w:pStyle w:val="Compact"/>
        <w:numPr>
          <w:ilvl w:val="0"/>
          <w:numId w:val="1023"/>
        </w:numPr>
      </w:pPr>
      <w:r>
        <w:t xml:space="preserve">the present bottleneck is semantic routing rather than matte stability.</w:t>
      </w:r>
    </w:p>
    <w:bookmarkEnd w:id="176"/>
    <w:bookmarkStart w:id="177"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4"/>
        </w:numPr>
      </w:pPr>
      <w:r>
        <w:t xml:space="preserve">transparent recomposition is a sanity check; alpha error and clean-background quality are the primary transparent metrics;</w:t>
      </w:r>
    </w:p>
    <w:p>
      <w:pPr>
        <w:pStyle w:val="Compact"/>
        <w:numPr>
          <w:ilvl w:val="0"/>
          <w:numId w:val="1024"/>
        </w:numPr>
      </w:pPr>
      <w:r>
        <w:t xml:space="preserve">the current path should be described as approximate transparent-layer recovery rather than state-of-the-art generative transparent decomposition;</w:t>
      </w:r>
    </w:p>
    <w:p>
      <w:pPr>
        <w:pStyle w:val="Compact"/>
        <w:numPr>
          <w:ilvl w:val="0"/>
          <w:numId w:val="1024"/>
        </w:numPr>
      </w:pPr>
      <w:r>
        <w:t xml:space="preserve">the prototype is strongest on flare-like overlays and weakest on the semi-transparent panel variant.</w:t>
      </w:r>
    </w:p>
    <w:bookmarkEnd w:id="177"/>
    <w:bookmarkStart w:id="178" w:name="b.6-main-ablation-matrix"/>
    <w:p>
      <w:pPr>
        <w:pStyle w:val="Heading2"/>
      </w:pPr>
      <w:r>
        <w:t xml:space="preserve">B.6 Main ablation matrix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promptable masks plus soft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amodal plus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78"/>
    <w:bookmarkStart w:id="179" w:name="b.7-literature-comparison"/>
    <w:p>
      <w:pPr>
        <w:pStyle w:val="Heading2"/>
      </w:pPr>
      <w:r>
        <w:t xml:space="preserve">B.7 Literature comparison</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bookmarkEnd w:id="179"/>
    <w:bookmarkStart w:id="180"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0"/>
    <w:bookmarkStart w:id="181"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1"/>
    <w:bookmarkStart w:id="182" w:name="appendix-c-command-log"/>
    <w:p>
      <w:pPr>
        <w:pStyle w:val="Heading2"/>
      </w:pPr>
      <w:r>
        <w:t xml:space="preserve">Appendix C: command log</w:t>
      </w:r>
    </w:p>
    <w:p>
      <w:pPr>
        <w:pStyle w:val="Compact"/>
        <w:numPr>
          <w:ilvl w:val="0"/>
          <w:numId w:val="1025"/>
        </w:numPr>
      </w:pPr>
      <w:hyperlink r:id="rId163">
        <w:r>
          <w:rPr>
            <w:rStyle w:val="Hyperlink"/>
          </w:rPr>
          <w:t xml:space="preserve">../../report_artifacts/command_log.md</w:t>
        </w:r>
      </w:hyperlink>
    </w:p>
    <w:bookmarkEnd w:id="182"/>
    <w:bookmarkStart w:id="185" w:name="appendix-d-extra-literature-notes"/>
    <w:p>
      <w:pPr>
        <w:pStyle w:val="Heading2"/>
      </w:pPr>
      <w:r>
        <w:t xml:space="preserve">Appendix D: extra literature notes</w:t>
      </w:r>
    </w:p>
    <w:p>
      <w:pPr>
        <w:pStyle w:val="Compact"/>
        <w:numPr>
          <w:ilvl w:val="0"/>
          <w:numId w:val="1026"/>
        </w:numPr>
      </w:pPr>
      <w:hyperlink r:id="rId183">
        <w:r>
          <w:rPr>
            <w:rStyle w:val="Hyperlink"/>
          </w:rPr>
          <w:t xml:space="preserve">../LITERATURE_REVIEW.md</w:t>
        </w:r>
      </w:hyperlink>
    </w:p>
    <w:p>
      <w:pPr>
        <w:pStyle w:val="Compact"/>
        <w:numPr>
          <w:ilvl w:val="0"/>
          <w:numId w:val="1026"/>
        </w:numPr>
      </w:pPr>
      <w:hyperlink r:id="rId184">
        <w:r>
          <w:rPr>
            <w:rStyle w:val="Hyperlink"/>
          </w:rPr>
          <w:t xml:space="preserve">../REFERENCES.md</w:t>
        </w:r>
      </w:hyperlink>
    </w:p>
    <w:bookmarkEnd w:id="185"/>
    <w:bookmarkEnd w:id="1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59" Target="../../PROJECT_MANIFEST.json" TargetMode="External" /><Relationship Type="http://schemas.openxmlformats.org/officeDocument/2006/relationships/hyperlink" Id="rId160" Target="../../report_artifacts/README.md" TargetMode="External" /><Relationship Type="http://schemas.openxmlformats.org/officeDocument/2006/relationships/hyperlink" Id="rId163" Target="../../report_artifacts/command_log.md" TargetMode="External" /><Relationship Type="http://schemas.openxmlformats.org/officeDocument/2006/relationships/hyperlink" Id="rId162" Target="../../report_artifacts/figure_sources/figure_manifest.json" TargetMode="External" /><Relationship Type="http://schemas.openxmlformats.org/officeDocument/2006/relationships/hyperlink" Id="rId161" Target="../../report_artifacts/metrics_snapshots" TargetMode="External" /><Relationship Type="http://schemas.openxmlformats.org/officeDocument/2006/relationships/hyperlink" Id="rId167" Target="../FIGURES.md" TargetMode="External" /><Relationship Type="http://schemas.openxmlformats.org/officeDocument/2006/relationships/hyperlink" Id="rId183" Target="../LITERATURE_REVIEW.md" TargetMode="External" /><Relationship Type="http://schemas.openxmlformats.org/officeDocument/2006/relationships/hyperlink" Id="rId168" Target="../PRODUCT_ARCHITECTURE_AND_LAUNCH.md" TargetMode="External" /><Relationship Type="http://schemas.openxmlformats.org/officeDocument/2006/relationships/hyperlink" Id="rId165" Target="../QWEN_IMAGE_LAYERED_COMPARISON.md" TargetMode="External" /><Relationship Type="http://schemas.openxmlformats.org/officeDocument/2006/relationships/hyperlink" Id="rId184" Target="../REFERENCES.md" TargetMode="External" /><Relationship Type="http://schemas.openxmlformats.org/officeDocument/2006/relationships/hyperlink" Id="rId166" Target="../REPORT_TABLES.md" TargetMode="External" /><Relationship Type="http://schemas.openxmlformats.org/officeDocument/2006/relationships/hyperlink" Id="rId164" Target="../RESULTS_SUMMARY_CURRENT.md" TargetMode="External" /><Relationship Type="http://schemas.openxmlformats.org/officeDocument/2006/relationships/hyperlink" Id="rId169" Target="../api/openapi.yaml" TargetMode="External" /><Relationship Type="http://schemas.openxmlformats.org/officeDocument/2006/relationships/hyperlink" Id="rId155" Target="02_BENCHMARKING_PROTOCOL.md" TargetMode="External" /><Relationship Type="http://schemas.openxmlformats.org/officeDocument/2006/relationships/hyperlink" Id="rId154"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159" Target="../../PROJECT_MANIFEST.json" TargetMode="External" /><Relationship Type="http://schemas.openxmlformats.org/officeDocument/2006/relationships/hyperlink" Id="rId160" Target="../../report_artifacts/README.md" TargetMode="External" /><Relationship Type="http://schemas.openxmlformats.org/officeDocument/2006/relationships/hyperlink" Id="rId163" Target="../../report_artifacts/command_log.md" TargetMode="External" /><Relationship Type="http://schemas.openxmlformats.org/officeDocument/2006/relationships/hyperlink" Id="rId162" Target="../../report_artifacts/figure_sources/figure_manifest.json" TargetMode="External" /><Relationship Type="http://schemas.openxmlformats.org/officeDocument/2006/relationships/hyperlink" Id="rId161" Target="../../report_artifacts/metrics_snapshots" TargetMode="External" /><Relationship Type="http://schemas.openxmlformats.org/officeDocument/2006/relationships/hyperlink" Id="rId167" Target="../FIGURES.md" TargetMode="External" /><Relationship Type="http://schemas.openxmlformats.org/officeDocument/2006/relationships/hyperlink" Id="rId183" Target="../LITERATURE_REVIEW.md" TargetMode="External" /><Relationship Type="http://schemas.openxmlformats.org/officeDocument/2006/relationships/hyperlink" Id="rId168" Target="../PRODUCT_ARCHITECTURE_AND_LAUNCH.md" TargetMode="External" /><Relationship Type="http://schemas.openxmlformats.org/officeDocument/2006/relationships/hyperlink" Id="rId165" Target="../QWEN_IMAGE_LAYERED_COMPARISON.md" TargetMode="External" /><Relationship Type="http://schemas.openxmlformats.org/officeDocument/2006/relationships/hyperlink" Id="rId184" Target="../REFERENCES.md" TargetMode="External" /><Relationship Type="http://schemas.openxmlformats.org/officeDocument/2006/relationships/hyperlink" Id="rId166" Target="../REPORT_TABLES.md" TargetMode="External" /><Relationship Type="http://schemas.openxmlformats.org/officeDocument/2006/relationships/hyperlink" Id="rId164" Target="../RESULTS_SUMMARY_CURRENT.md" TargetMode="External" /><Relationship Type="http://schemas.openxmlformats.org/officeDocument/2006/relationships/hyperlink" Id="rId169" Target="../api/openapi.yaml" TargetMode="External" /><Relationship Type="http://schemas.openxmlformats.org/officeDocument/2006/relationships/hyperlink" Id="rId155" Target="02_BENCHMARKING_PROTOCOL.md" TargetMode="External" /><Relationship Type="http://schemas.openxmlformats.org/officeDocument/2006/relationships/hyperlink" Id="rId154"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2026-04-23T07:59:53Z</dcterms:created>
  <dcterms:modified xsi:type="dcterms:W3CDTF">2026-04-23T07:59:53Z</dcterms:modified>
</cp:coreProperties>
</file>

<file path=docProps/custom.xml><?xml version="1.0" encoding="utf-8"?>
<Properties xmlns="http://schemas.openxmlformats.org/officeDocument/2006/custom-properties" xmlns:vt="http://schemas.openxmlformats.org/officeDocument/2006/docPropsVTypes"/>
</file>