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128.png" ContentType="image/png"/>
  <Override PartName="/word/media/rId144.png" ContentType="image/png"/>
  <Override PartName="/word/media/rId132.png" ContentType="image/png"/>
  <Override PartName="/word/media/rId136.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ayerforge-x-final-report"/>
    <w:p>
      <w:pPr>
        <w:pStyle w:val="Heading1"/>
      </w:pPr>
      <w:r>
        <w:t xml:space="preserve">LayerForge-X Final Report</w:t>
      </w:r>
    </w:p>
    <w:bookmarkEnd w:id="20"/>
    <w:bookmarkStart w:id="21"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1"/>
    <w:bookmarkStart w:id="22"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2"/>
    <w:bookmarkStart w:id="23"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3"/>
    <w:bookmarkStart w:id="38" w:name="related-work"/>
    <w:p>
      <w:pPr>
        <w:pStyle w:val="Heading1"/>
      </w:pPr>
      <w:r>
        <w:t xml:space="preserve">3. Related Work</w:t>
      </w:r>
    </w:p>
    <w:bookmarkStart w:id="24"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4"/>
    <w:bookmarkStart w:id="25"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5"/>
    <w:bookmarkStart w:id="26"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6"/>
    <w:bookmarkStart w:id="27"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7"/>
    <w:bookmarkStart w:id="28"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8"/>
    <w:bookmarkStart w:id="29"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9"/>
    <w:bookmarkStart w:id="30"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30"/>
    <w:bookmarkStart w:id="31"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1"/>
    <w:bookmarkStart w:id="32"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2"/>
    <w:bookmarkStart w:id="33"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3"/>
    <w:bookmarkStart w:id="34"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4"/>
    <w:bookmarkStart w:id="35"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5"/>
    <w:bookmarkStart w:id="36"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6"/>
    <w:bookmarkStart w:id="37"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62" w:name="method"/>
    <w:p>
      <w:pPr>
        <w:pStyle w:val="Heading1"/>
      </w:pPr>
      <w:r>
        <w:t xml:space="preserve">4. Method</w:t>
      </w:r>
    </w:p>
    <w:bookmarkStart w:id="39"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9"/>
    <w:bookmarkStart w:id="40"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40"/>
    <w:bookmarkStart w:id="44" w:name="boundary-weighted-occlusion-graph"/>
    <w:p>
      <w:pPr>
        <w:pStyle w:val="Heading2"/>
      </w:pPr>
      <w:r>
        <w:t xml:space="preserve">4.3 Boundary-weighted occlusion graph</w:t>
      </w:r>
    </w:p>
    <w:bookmarkStart w:id="41"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1"/>
    <w:bookmarkStart w:id="42"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2"/>
    <w:bookmarkStart w:id="43"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3"/>
    <w:bookmarkEnd w:id="44"/>
    <w:bookmarkStart w:id="45"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5"/>
    <w:bookmarkStart w:id="46"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6"/>
    <w:bookmarkStart w:id="47"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archived five-image evidence pack,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7"/>
    <w:bookmarkStart w:id="48"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8"/>
    <w:bookmarkStart w:id="49"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9"/>
    <w:bookmarkStart w:id="50"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50"/>
    <w:bookmarkStart w:id="60" w:name="full-pipeline"/>
    <w:p>
      <w:pPr>
        <w:pStyle w:val="Heading2"/>
      </w:pPr>
      <w:r>
        <w:t xml:space="preserve">4.10 Full pipeline</w:t>
      </w:r>
    </w:p>
    <w:bookmarkStart w:id="51"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1"/>
    <w:bookmarkStart w:id="52"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2"/>
    <w:bookmarkStart w:id="53"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3"/>
    <w:bookmarkStart w:id="54"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4"/>
    <w:bookmarkStart w:id="55"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5"/>
    <w:bookmarkStart w:id="56" w:name="step-6-amodal-expansion"/>
    <w:p>
      <w:pPr>
        <w:pStyle w:val="Heading3"/>
      </w:pPr>
      <w:r>
        <w:t xml:space="preserve">Step 6: Amodal expansion</w:t>
      </w:r>
    </w:p>
    <w:p>
      <w:pPr>
        <w:pStyle w:val="FirstParagraph"/>
      </w:pPr>
      <w:r>
        <w:t xml:space="preserve">Full object masks and hidden regions are estimated conservatively.</w:t>
      </w:r>
    </w:p>
    <w:bookmarkEnd w:id="56"/>
    <w:bookmarkStart w:id="57"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7"/>
    <w:bookmarkStart w:id="58"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8"/>
    <w:bookmarkStart w:id="59"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9"/>
    <w:bookmarkEnd w:id="60"/>
    <w:bookmarkStart w:id="61"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1"/>
    <w:bookmarkEnd w:id="62"/>
    <w:bookmarkStart w:id="123" w:name="experiments-and-evaluation-protocol"/>
    <w:p>
      <w:pPr>
        <w:pStyle w:val="Heading1"/>
      </w:pPr>
      <w:r>
        <w:t xml:space="preserve">5. Experiments and Evaluation Protocol</w:t>
      </w:r>
    </w:p>
    <w:bookmarkStart w:id="63"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evidence pack for reported numbers.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3"/>
    <w:bookmarkStart w:id="64" w:name="modal-semantic-and-panoptic-segmentation"/>
    <w:p>
      <w:pPr>
        <w:pStyle w:val="Heading2"/>
      </w:pPr>
      <w:r>
        <w:t xml:space="preserve">5.1 Modal semantic and panoptic segmentation</w:t>
      </w:r>
    </w:p>
    <w:bookmarkEnd w:id="64"/>
    <w:bookmarkStart w:id="65"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5"/>
    <w:bookmarkStart w:id="68" w:name="metrics"/>
    <w:p>
      <w:pPr>
        <w:pStyle w:val="Heading2"/>
      </w:pPr>
      <w:r>
        <w:t xml:space="preserve">Metrics</w:t>
      </w:r>
    </w:p>
    <w:bookmarkStart w:id="66"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6"/>
    <w:bookmarkStart w:id="67"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7"/>
    <w:bookmarkEnd w:id="68"/>
    <w:bookmarkStart w:id="69"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9"/>
    <w:bookmarkStart w:id="70"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70"/>
    <w:bookmarkStart w:id="71" w:name="depth-order-and-occlusion-graph-quality"/>
    <w:p>
      <w:pPr>
        <w:pStyle w:val="Heading2"/>
      </w:pPr>
      <w:r>
        <w:t xml:space="preserve">5.2 Depth-order and occlusion-graph quality</w:t>
      </w:r>
    </w:p>
    <w:bookmarkEnd w:id="71"/>
    <w:bookmarkStart w:id="72"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2"/>
    <w:bookmarkStart w:id="73"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3"/>
    <w:bookmarkStart w:id="74"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4"/>
    <w:bookmarkStart w:id="79" w:name="metrics-1"/>
    <w:p>
      <w:pPr>
        <w:pStyle w:val="Heading2"/>
      </w:pPr>
      <w:r>
        <w:t xml:space="preserve">Metrics</w:t>
      </w:r>
    </w:p>
    <w:bookmarkStart w:id="75"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5"/>
    <w:bookmarkStart w:id="76"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6"/>
    <w:bookmarkStart w:id="77"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7"/>
    <w:bookmarkStart w:id="78"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8"/>
    <w:bookmarkEnd w:id="79"/>
    <w:bookmarkStart w:id="80"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0"/>
    <w:bookmarkStart w:id="81" w:name="rgba-recomposition-fidelity"/>
    <w:p>
      <w:pPr>
        <w:pStyle w:val="Heading2"/>
      </w:pPr>
      <w:r>
        <w:t xml:space="preserve">5.3 RGBA recomposition fidelity</w:t>
      </w:r>
    </w:p>
    <w:bookmarkEnd w:id="81"/>
    <w:bookmarkStart w:id="82"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2"/>
    <w:bookmarkStart w:id="83"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3"/>
    <w:bookmarkStart w:id="88" w:name="metrics-2"/>
    <w:p>
      <w:pPr>
        <w:pStyle w:val="Heading2"/>
      </w:pPr>
      <w:r>
        <w:t xml:space="preserve">Metrics</w:t>
      </w:r>
    </w:p>
    <w:bookmarkStart w:id="84"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4"/>
    <w:bookmarkStart w:id="85" w:name="structural-similarity"/>
    <w:p>
      <w:pPr>
        <w:pStyle w:val="Heading3"/>
      </w:pPr>
      <w:r>
        <w:t xml:space="preserve">Structural similarity</w:t>
      </w:r>
    </w:p>
    <w:p>
      <w:pPr>
        <w:pStyle w:val="FirstParagraph"/>
      </w:pPr>
      <w:r>
        <w:t xml:space="preserve">SSIM or MS-SSIM.</w:t>
      </w:r>
    </w:p>
    <w:bookmarkEnd w:id="85"/>
    <w:bookmarkStart w:id="86" w:name="perceptual-similarity"/>
    <w:p>
      <w:pPr>
        <w:pStyle w:val="Heading3"/>
      </w:pPr>
      <w:r>
        <w:t xml:space="preserve">Perceptual similarity</w:t>
      </w:r>
    </w:p>
    <w:p>
      <w:pPr>
        <w:pStyle w:val="FirstParagraph"/>
      </w:pPr>
      <w:r>
        <w:t xml:space="preserve">LPIPS, when available. Lower values are better.</w:t>
      </w:r>
    </w:p>
    <w:bookmarkEnd w:id="86"/>
    <w:bookmarkStart w:id="87"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7"/>
    <w:bookmarkEnd w:id="88"/>
    <w:bookmarkStart w:id="89"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9"/>
    <w:bookmarkStart w:id="90" w:name="Xe1a9d897ee24f294c85f4d7938585d53a12899b"/>
    <w:p>
      <w:pPr>
        <w:pStyle w:val="Heading2"/>
      </w:pPr>
      <w:r>
        <w:t xml:space="preserve">5.4 Amodal masks and hidden-region completion</w:t>
      </w:r>
    </w:p>
    <w:bookmarkEnd w:id="90"/>
    <w:bookmarkStart w:id="91"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1"/>
    <w:bookmarkStart w:id="96" w:name="metrics-3"/>
    <w:p>
      <w:pPr>
        <w:pStyle w:val="Heading2"/>
      </w:pPr>
      <w:r>
        <w:t xml:space="preserve">Metrics</w:t>
      </w:r>
    </w:p>
    <w:bookmarkStart w:id="92"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2"/>
    <w:bookmarkStart w:id="93"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3"/>
    <w:bookmarkStart w:id="94"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4"/>
    <w:bookmarkStart w:id="95"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5"/>
    <w:bookmarkEnd w:id="96"/>
    <w:bookmarkStart w:id="97"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7"/>
    <w:bookmarkStart w:id="98" w:name="intrinsic-albedo-and-shading-split"/>
    <w:p>
      <w:pPr>
        <w:pStyle w:val="Heading2"/>
      </w:pPr>
      <w:r>
        <w:t xml:space="preserve">5.5 Intrinsic albedo and shading split</w:t>
      </w:r>
    </w:p>
    <w:bookmarkEnd w:id="98"/>
    <w:bookmarkStart w:id="99"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9"/>
    <w:bookmarkStart w:id="103" w:name="metrics-4"/>
    <w:p>
      <w:pPr>
        <w:pStyle w:val="Heading2"/>
      </w:pPr>
      <w:r>
        <w:t xml:space="preserve">Metrics</w:t>
      </w:r>
    </w:p>
    <w:bookmarkStart w:id="100" w:name="whdr-on-iiw"/>
    <w:p>
      <w:pPr>
        <w:pStyle w:val="Heading3"/>
      </w:pPr>
      <w:r>
        <w:t xml:space="preserve">WHDR on IIW</w:t>
      </w:r>
    </w:p>
    <w:p>
      <w:pPr>
        <w:pStyle w:val="FirstParagraph"/>
      </w:pPr>
      <w:r>
        <w:t xml:space="preserve">WHDR measures whether predicted reflectance comparisons agree with human judgments. Lower is better.</w:t>
      </w:r>
    </w:p>
    <w:bookmarkEnd w:id="100"/>
    <w:bookmarkStart w:id="101"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1"/>
    <w:bookmarkStart w:id="102"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2"/>
    <w:bookmarkEnd w:id="103"/>
    <w:bookmarkStart w:id="104"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4"/>
    <w:bookmarkStart w:id="105" w:name="editability-evaluation"/>
    <w:p>
      <w:pPr>
        <w:pStyle w:val="Heading2"/>
      </w:pPr>
      <w:r>
        <w:t xml:space="preserve">5.6 Editability evaluation</w:t>
      </w:r>
    </w:p>
    <w:bookmarkEnd w:id="105"/>
    <w:bookmarkStart w:id="106"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6"/>
    <w:bookmarkStart w:id="107"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7"/>
    <w:bookmarkStart w:id="111" w:name="metrics-5"/>
    <w:p>
      <w:pPr>
        <w:pStyle w:val="Heading2"/>
      </w:pPr>
      <w:r>
        <w:t xml:space="preserve">Metrics</w:t>
      </w:r>
    </w:p>
    <w:bookmarkStart w:id="108"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8"/>
    <w:bookmarkStart w:id="109"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9"/>
    <w:bookmarkStart w:id="110"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10"/>
    <w:bookmarkEnd w:id="111"/>
    <w:bookmarkStart w:id="112"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2"/>
    <w:bookmarkStart w:id="113"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3"/>
    <w:bookmarkStart w:id="114"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4"/>
    <w:bookmarkStart w:id="115"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5"/>
    <w:bookmarkStart w:id="116"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6"/>
    <w:bookmarkStart w:id="117"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7"/>
    <w:bookmarkStart w:id="118"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8"/>
    <w:bookmarkStart w:id="119"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9"/>
    <w:bookmarkStart w:id="120"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20"/>
    <w:bookmarkStart w:id="121"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1"/>
    <w:bookmarkStart w:id="122"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2"/>
    <w:bookmarkEnd w:id="123"/>
    <w:bookmarkStart w:id="157" w:name="results"/>
    <w:p>
      <w:pPr>
        <w:pStyle w:val="Heading1"/>
      </w:pPr>
      <w:r>
        <w:t xml:space="preserve">6. Results</w:t>
      </w:r>
    </w:p>
    <w:bookmarkStart w:id="148" w:name="hero-figures"/>
    <w:p>
      <w:pPr>
        <w:pStyle w:val="Heading3"/>
      </w:pPr>
      <w:r>
        <w:t xml:space="preserve">Hero figures</w:t>
      </w:r>
    </w:p>
    <w:bookmarkStart w:id="127"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5" name="Picture"/>
            <a:graphic>
              <a:graphicData uri="http://schemas.openxmlformats.org/drawingml/2006/picture">
                <pic:pic>
                  <pic:nvPicPr>
                    <pic:cNvPr descr="../figures/truck_recomposition_comparison.png" id="126" name="Picture"/>
                    <pic:cNvPicPr>
                      <a:picLocks noChangeArrowheads="1" noChangeAspect="1"/>
                    </pic:cNvPicPr>
                  </pic:nvPicPr>
                  <pic:blipFill>
                    <a:blip r:embed="rId124"/>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7"/>
    <w:bookmarkStart w:id="131"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9" name="Picture"/>
            <a:graphic>
              <a:graphicData uri="http://schemas.openxmlformats.org/drawingml/2006/picture">
                <pic:pic>
                  <pic:nvPicPr>
                    <pic:cNvPr descr="../figures/frontier_review.png" id="130" name="Picture"/>
                    <pic:cNvPicPr>
                      <a:picLocks noChangeArrowheads="1" noChangeAspect="1"/>
                    </pic:cNvPicPr>
                  </pic:nvPicPr>
                  <pic:blipFill>
                    <a:blip r:embed="rId128"/>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1"/>
    <w:bookmarkStart w:id="135"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3" name="Picture"/>
            <a:graphic>
              <a:graphicData uri="http://schemas.openxmlformats.org/drawingml/2006/picture">
                <pic:pic>
                  <pic:nvPicPr>
                    <pic:cNvPr descr="../figures/prompt_extract_benchmark.png" id="134" name="Picture"/>
                    <pic:cNvPicPr>
                      <a:picLocks noChangeArrowheads="1" noChangeAspect="1"/>
                    </pic:cNvPicPr>
                  </pic:nvPicPr>
                  <pic:blipFill>
                    <a:blip r:embed="rId132"/>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5"/>
    <w:bookmarkStart w:id="139"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7" name="Picture"/>
            <a:graphic>
              <a:graphicData uri="http://schemas.openxmlformats.org/drawingml/2006/picture">
                <pic:pic>
                  <pic:nvPicPr>
                    <pic:cNvPr descr="../figures/transparent_benchmark.png" id="138" name="Picture"/>
                    <pic:cNvPicPr>
                      <a:picLocks noChangeArrowheads="1" noChangeAspect="1"/>
                    </pic:cNvPicPr>
                  </pic:nvPicPr>
                  <pic:blipFill>
                    <a:blip r:embed="rId136"/>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9"/>
    <w:bookmarkStart w:id="143"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1" name="Picture"/>
            <a:graphic>
              <a:graphicData uri="http://schemas.openxmlformats.org/drawingml/2006/picture">
                <pic:pic>
                  <pic:nvPicPr>
                    <pic:cNvPr descr="../figures/effects_layer_demo.png" id="142" name="Picture"/>
                    <pic:cNvPicPr>
                      <a:picLocks noChangeArrowheads="1" noChangeAspect="1"/>
                    </pic:cNvPicPr>
                  </pic:nvPicPr>
                  <pic:blipFill>
                    <a:blip r:embed="rId140"/>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3"/>
    <w:bookmarkStart w:id="147" w:name="intrinsic-export-demo"/>
    <w:p>
      <w:pPr>
        <w:pStyle w:val="Heading4"/>
      </w:pPr>
      <w:r>
        <w:t xml:space="preserve">Intrinsic export demo</w:t>
      </w:r>
    </w:p>
    <w:p>
      <w:pPr>
        <w:pStyle w:val="CaptionedFigure"/>
      </w:pPr>
      <w:r>
        <w:drawing>
          <wp:inline>
            <wp:extent cx="5334000" cy="3719763"/>
            <wp:effectExtent b="0" l="0" r="0" t="0"/>
            <wp:docPr descr="Intrinsic layer demo" title="" id="145" name="Picture"/>
            <a:graphic>
              <a:graphicData uri="http://schemas.openxmlformats.org/drawingml/2006/picture">
                <pic:pic>
                  <pic:nvPicPr>
                    <pic:cNvPr descr="../figures/intrinsic_layer_demo.png" id="146" name="Picture"/>
                    <pic:cNvPicPr>
                      <a:picLocks noChangeArrowheads="1" noChangeAspect="1"/>
                    </pic:cNvPicPr>
                  </pic:nvPicPr>
                  <pic:blipFill>
                    <a:blip r:embed="rId144"/>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7"/>
    <w:bookmarkEnd w:id="148"/>
    <w:bookmarkStart w:id="155"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Q+G</w:t>
      </w:r>
      <w:r>
        <w:t xml:space="preserve"> </w:t>
      </w:r>
      <w:r>
        <w:t xml:space="preserve">= Qwen plus LayerForge graph enrichment.</w:t>
      </w:r>
    </w:p>
    <w:bookmarkStart w:id="149" w:name="five-image-qwen-raw-versus-hybrid-review"/>
    <w:p>
      <w:pPr>
        <w:pStyle w:val="Heading4"/>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bookmarkEnd w:id="149"/>
    <w:bookmarkStart w:id="150" w:name="associated-effect-demo"/>
    <w:p>
      <w:pPr>
        <w:pStyle w:val="Heading4"/>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bookmarkEnd w:id="150"/>
    <w:bookmarkStart w:id="151" w:name="X0e9e3f984752b954aaab98655e513f4cd780034"/>
    <w:p>
      <w:pPr>
        <w:pStyle w:val="Heading4"/>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bookmarkEnd w:id="151"/>
    <w:bookmarkStart w:id="152" w:name="five-image-editability-suite"/>
    <w:p>
      <w:pPr>
        <w:pStyle w:val="Heading4"/>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bookmarkEnd w:id="152"/>
    <w:bookmarkStart w:id="153"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53"/>
    <w:bookmarkStart w:id="154"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54"/>
    <w:bookmarkEnd w:id="155"/>
    <w:bookmarkStart w:id="156"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16"/>
        </w:numPr>
      </w:pPr>
      <w:r>
        <w:t xml:space="preserve">The editability suite is the anti-triviality guardrail for the selector,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state-of-the-art intrinsic benchmark.</w:t>
      </w:r>
    </w:p>
    <w:bookmarkEnd w:id="156"/>
    <w:bookmarkEnd w:id="157"/>
    <w:bookmarkStart w:id="158"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8"/>
    <w:bookmarkStart w:id="161" w:name="limitations"/>
    <w:p>
      <w:pPr>
        <w:pStyle w:val="Heading1"/>
      </w:pPr>
      <w:r>
        <w:t xml:space="preserve">8. Limitations</w:t>
      </w:r>
    </w:p>
    <w:p>
      <w:pPr>
        <w:pStyle w:val="FirstParagraph"/>
      </w:pPr>
      <w:r>
        <w:t xml:space="preserve">Failure taxonomy and future-work framing are documented in</w:t>
      </w:r>
      <w:r>
        <w:t xml:space="preserve"> </w:t>
      </w:r>
      <w:hyperlink r:id="rId159">
        <w:r>
          <w:rPr>
            <w:rStyle w:val="Hyperlink"/>
          </w:rPr>
          <w:t xml:space="preserve">04_ABLATIONS_AND_TABLES.md</w:t>
        </w:r>
      </w:hyperlink>
      <w:r>
        <w:t xml:space="preserve"> </w:t>
      </w:r>
      <w:r>
        <w:t xml:space="preserve">and</w:t>
      </w:r>
      <w:r>
        <w:t xml:space="preserve"> </w:t>
      </w:r>
      <w:hyperlink r:id="rId160">
        <w:r>
          <w:rPr>
            <w:rStyle w:val="Hyperlink"/>
          </w:rPr>
          <w:t xml:space="preserve">02_BENCHMARKING_PROTOCOL.md</w:t>
        </w:r>
      </w:hyperlink>
      <w:r>
        <w:t xml:space="preserve">.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61"/>
    <w:bookmarkStart w:id="162"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62"/>
    <w:bookmarkStart w:id="163"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63"/>
    <w:bookmarkStart w:id="175" w:name="appendix-a-artifact-map"/>
    <w:p>
      <w:pPr>
        <w:pStyle w:val="Heading1"/>
      </w:pPr>
      <w:r>
        <w:t xml:space="preserve">Appendix A: Artifact Map</w:t>
      </w:r>
    </w:p>
    <w:p>
      <w:pPr>
        <w:pStyle w:val="FirstParagraph"/>
      </w:pPr>
      <w:r>
        <w:t xml:space="preserve">Submission source-of-truth files:</w:t>
      </w:r>
    </w:p>
    <w:p>
      <w:pPr>
        <w:pStyle w:val="Compact"/>
        <w:numPr>
          <w:ilvl w:val="0"/>
          <w:numId w:val="1019"/>
        </w:numPr>
      </w:pPr>
      <w:hyperlink r:id="rId164">
        <w:r>
          <w:rPr>
            <w:rStyle w:val="Hyperlink"/>
          </w:rPr>
          <w:t xml:space="preserve">../../PROJECT_MANIFEST.json</w:t>
        </w:r>
      </w:hyperlink>
    </w:p>
    <w:p>
      <w:pPr>
        <w:pStyle w:val="Compact"/>
        <w:numPr>
          <w:ilvl w:val="0"/>
          <w:numId w:val="1019"/>
        </w:numPr>
      </w:pPr>
      <w:hyperlink r:id="rId165">
        <w:r>
          <w:rPr>
            <w:rStyle w:val="Hyperlink"/>
          </w:rPr>
          <w:t xml:space="preserve">../../report_artifacts/README.md</w:t>
        </w:r>
      </w:hyperlink>
    </w:p>
    <w:p>
      <w:pPr>
        <w:pStyle w:val="Compact"/>
        <w:numPr>
          <w:ilvl w:val="0"/>
          <w:numId w:val="1019"/>
        </w:numPr>
      </w:pPr>
      <w:hyperlink r:id="rId166">
        <w:r>
          <w:rPr>
            <w:rStyle w:val="Hyperlink"/>
          </w:rPr>
          <w:t xml:space="preserve">../../report_artifacts/metrics_snapshots/</w:t>
        </w:r>
      </w:hyperlink>
    </w:p>
    <w:p>
      <w:pPr>
        <w:pStyle w:val="Compact"/>
        <w:numPr>
          <w:ilvl w:val="0"/>
          <w:numId w:val="1019"/>
        </w:numPr>
      </w:pPr>
      <w:hyperlink r:id="rId167">
        <w:r>
          <w:rPr>
            <w:rStyle w:val="Hyperlink"/>
          </w:rPr>
          <w:t xml:space="preserve">../../report_artifacts/figure_sources/figure_manifest.json</w:t>
        </w:r>
      </w:hyperlink>
    </w:p>
    <w:p>
      <w:pPr>
        <w:pStyle w:val="Compact"/>
        <w:numPr>
          <w:ilvl w:val="0"/>
          <w:numId w:val="1019"/>
        </w:numPr>
      </w:pPr>
      <w:hyperlink r:id="rId168">
        <w:r>
          <w:rPr>
            <w:rStyle w:val="Hyperlink"/>
          </w:rPr>
          <w:t xml:space="preserve">../../report_artifacts/command_log.md</w:t>
        </w:r>
      </w:hyperlink>
    </w:p>
    <w:p>
      <w:pPr>
        <w:pStyle w:val="Compact"/>
        <w:numPr>
          <w:ilvl w:val="0"/>
          <w:numId w:val="1019"/>
        </w:numPr>
      </w:pPr>
      <w:hyperlink r:id="rId169">
        <w:r>
          <w:rPr>
            <w:rStyle w:val="Hyperlink"/>
          </w:rPr>
          <w:t xml:space="preserve">../RESULTS_SUMMARY_CURRENT.md</w:t>
        </w:r>
      </w:hyperlink>
    </w:p>
    <w:p>
      <w:pPr>
        <w:pStyle w:val="Compact"/>
        <w:numPr>
          <w:ilvl w:val="0"/>
          <w:numId w:val="1019"/>
        </w:numPr>
      </w:pPr>
      <w:hyperlink r:id="rId170">
        <w:r>
          <w:rPr>
            <w:rStyle w:val="Hyperlink"/>
          </w:rPr>
          <w:t xml:space="preserve">../QWEN_IMAGE_LAYERED_COMPARISON.md</w:t>
        </w:r>
      </w:hyperlink>
    </w:p>
    <w:p>
      <w:pPr>
        <w:pStyle w:val="Compact"/>
        <w:numPr>
          <w:ilvl w:val="0"/>
          <w:numId w:val="1019"/>
        </w:numPr>
      </w:pPr>
      <w:hyperlink r:id="rId171">
        <w:r>
          <w:rPr>
            <w:rStyle w:val="Hyperlink"/>
          </w:rPr>
          <w:t xml:space="preserve">../REPORT_TABLES.md</w:t>
        </w:r>
      </w:hyperlink>
    </w:p>
    <w:p>
      <w:pPr>
        <w:pStyle w:val="Compact"/>
        <w:numPr>
          <w:ilvl w:val="0"/>
          <w:numId w:val="1019"/>
        </w:numPr>
      </w:pPr>
      <w:hyperlink r:id="rId172">
        <w:r>
          <w:rPr>
            <w:rStyle w:val="Hyperlink"/>
          </w:rPr>
          <w:t xml:space="preserve">../FIGURES.md</w:t>
        </w:r>
      </w:hyperlink>
    </w:p>
    <w:p>
      <w:pPr>
        <w:pStyle w:val="Compact"/>
        <w:numPr>
          <w:ilvl w:val="0"/>
          <w:numId w:val="1019"/>
        </w:numPr>
      </w:pPr>
      <w:hyperlink r:id="rId173">
        <w:r>
          <w:rPr>
            <w:rStyle w:val="Hyperlink"/>
          </w:rPr>
          <w:t xml:space="preserve">../PRODUCT_ARCHITECTURE_AND_LAUNCH.md</w:t>
        </w:r>
      </w:hyperlink>
    </w:p>
    <w:p>
      <w:pPr>
        <w:pStyle w:val="Compact"/>
        <w:numPr>
          <w:ilvl w:val="0"/>
          <w:numId w:val="1019"/>
        </w:numPr>
      </w:pPr>
      <w:hyperlink r:id="rId174">
        <w:r>
          <w:rPr>
            <w:rStyle w:val="Hyperlink"/>
          </w:rPr>
          <w:t xml:space="preserve">../api/openapi.yaml</w:t>
        </w:r>
      </w:hyperlink>
    </w:p>
    <w:bookmarkEnd w:id="175"/>
    <w:bookmarkStart w:id="186"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6" w:name="b.1-completed-runs-snapshot"/>
    <w:p>
      <w:pPr>
        <w:pStyle w:val="Heading2"/>
      </w:pPr>
      <w:r>
        <w:t xml:space="preserve">B.1 Completed runs snapshot</w:t>
      </w:r>
    </w:p>
    <w:p>
      <w:pPr>
        <w:pStyle w:val="FirstParagraph"/>
      </w:pPr>
      <w:r>
        <w:t xml:space="preserve">The rows below are measured runs rather than placeholders:</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6"/>
    <w:bookmarkStart w:id="177" w:name="b.2-frontier-candidate-bank-review"/>
    <w:p>
      <w:pPr>
        <w:pStyle w:val="Heading2"/>
      </w:pPr>
      <w:r>
        <w:t xml:space="preserve">B.2 Frontier candidate-bank review</w:t>
      </w:r>
    </w:p>
    <w:p>
      <w:pPr>
        <w:pStyle w:val="FirstParagraph"/>
      </w:pPr>
      <w:r>
        <w:t xml:space="preserve">The local working tree contains a measured five-image frontier comparison in</w:t>
      </w:r>
      <w:r>
        <w:t xml:space="preserve"> </w:t>
      </w:r>
      <w:r>
        <w:rPr>
          <w:rStyle w:val="VerbatimChar"/>
        </w:rPr>
        <w:t xml:space="preserve">runs/frontier_review/frontier_summary.json</w:t>
      </w:r>
      <w:r>
        <w:t xml:space="preserve">, and the submission archive ships the copied summary in</w:t>
      </w:r>
      <w:r>
        <w:t xml:space="preserve"> </w:t>
      </w:r>
      <w:r>
        <w:rPr>
          <w:rStyle w:val="VerbatimChar"/>
        </w:rPr>
        <w:t xml:space="preserve">report_artifacts/metrics_snapshots/frontier_review_summary.json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7"/>
    <w:bookmarkStart w:id="178"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acts as the anti-triviality guardrail for the frontier selector;</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8"/>
    <w:bookmarkStart w:id="179"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3"/>
        </w:numPr>
      </w:pPr>
      <w:r>
        <w:t xml:space="preserve">text-bearing prompts identify the intended semantic target on the measured synthetic set;</w:t>
      </w:r>
    </w:p>
    <w:p>
      <w:pPr>
        <w:pStyle w:val="Compact"/>
        <w:numPr>
          <w:ilvl w:val="0"/>
          <w:numId w:val="1023"/>
        </w:numPr>
      </w:pPr>
      <w:r>
        <w:t xml:space="preserve">point-only and box-only prompts still achieve high overlap while missing the semantic target;</w:t>
      </w:r>
    </w:p>
    <w:p>
      <w:pPr>
        <w:pStyle w:val="Compact"/>
        <w:numPr>
          <w:ilvl w:val="0"/>
          <w:numId w:val="1023"/>
        </w:numPr>
      </w:pPr>
      <w:r>
        <w:t xml:space="preserve">the present bottleneck is semantic routing rather than matte stability.</w:t>
      </w:r>
    </w:p>
    <w:bookmarkEnd w:id="179"/>
    <w:bookmarkStart w:id="180"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4"/>
        </w:numPr>
      </w:pPr>
      <w:r>
        <w:t xml:space="preserve">transparent recomposition is a sanity check; alpha error and clean-background quality are the primary transparent metrics;</w:t>
      </w:r>
    </w:p>
    <w:p>
      <w:pPr>
        <w:pStyle w:val="Compact"/>
        <w:numPr>
          <w:ilvl w:val="0"/>
          <w:numId w:val="1024"/>
        </w:numPr>
      </w:pPr>
      <w:r>
        <w:t xml:space="preserve">the current path should be described as approximate transparent-layer recovery rather than state-of-the-art generative transparent decomposition;</w:t>
      </w:r>
    </w:p>
    <w:p>
      <w:pPr>
        <w:pStyle w:val="Compact"/>
        <w:numPr>
          <w:ilvl w:val="0"/>
          <w:numId w:val="1024"/>
        </w:numPr>
      </w:pPr>
      <w:r>
        <w:t xml:space="preserve">the prototype is strongest on flare-like overlays and weakest on the semi-transparent panel variant.</w:t>
      </w:r>
    </w:p>
    <w:bookmarkEnd w:id="180"/>
    <w:bookmarkStart w:id="181" w:name="b.6-main-ablation-matrix"/>
    <w:p>
      <w:pPr>
        <w:pStyle w:val="Heading2"/>
      </w:pPr>
      <w:r>
        <w:t xml:space="preserve">B.6 Main ablation matrix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promptable masks plus soft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amodal plus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1"/>
    <w:bookmarkStart w:id="182" w:name="b.7-literature-comparison"/>
    <w:p>
      <w:pPr>
        <w:pStyle w:val="Heading2"/>
      </w:pPr>
      <w:r>
        <w:t xml:space="preserve">B.7 Literature comparison</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bookmarkEnd w:id="182"/>
    <w:bookmarkStart w:id="183"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3"/>
    <w:bookmarkStart w:id="184"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4"/>
    <w:bookmarkStart w:id="185"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033"/>
        <w:gridCol w:w="1033"/>
        <w:gridCol w:w="1033"/>
        <w:gridCol w:w="1033"/>
        <w:gridCol w:w="1377"/>
        <w:gridCol w:w="1377"/>
        <w:gridCol w:w="1033"/>
      </w:tblGrid>
      <w:tr>
        <w:trPr>
          <w:tblHeader w:val="on"/>
        </w:trPr>
        <w:tc>
          <w:tcPr/>
          <w:p>
            <w:pPr>
              <w:pStyle w:val="Compact"/>
            </w:pPr>
            <w:r>
              <w:t xml:space="preserve">Run</w:t>
            </w:r>
          </w:p>
        </w:tc>
        <w:tc>
          <w:tcPr/>
          <w:p>
            <w:pPr>
              <w:pStyle w:val="Compact"/>
            </w:pPr>
            <w:r>
              <w:t xml:space="preserve">Intrinsic method</w:t>
            </w:r>
          </w:p>
        </w:tc>
        <w:tc>
          <w:tcPr/>
          <w:p>
            <w:pPr>
              <w:pStyle w:val="Compact"/>
            </w:pPr>
            <w:r>
              <w:t xml:space="preserve">Global albedo</w:t>
            </w:r>
          </w:p>
        </w:tc>
        <w:tc>
          <w:tcPr/>
          <w:p>
            <w:pPr>
              <w:pStyle w:val="Compact"/>
            </w:pPr>
            <w:r>
              <w:t xml:space="preserve">Global shading</w:t>
            </w:r>
          </w:p>
        </w:tc>
        <w:tc>
          <w:tcPr/>
          <w:p>
            <w:pPr>
              <w:pStyle w:val="Compact"/>
              <w:jc w:val="right"/>
            </w:pPr>
            <w:r>
              <w:t xml:space="preserve">Per-layer albedo exports</w:t>
            </w:r>
          </w:p>
        </w:tc>
        <w:tc>
          <w:tcPr/>
          <w:p>
            <w:pPr>
              <w:pStyle w:val="Compact"/>
              <w:jc w:val="right"/>
            </w:pPr>
            <w:r>
              <w:t xml:space="preserve">Per-layer shading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yes</w:t>
            </w:r>
          </w:p>
        </w:tc>
        <w:tc>
          <w:tcPr/>
          <w:p>
            <w:pPr>
              <w:pStyle w:val="Compact"/>
            </w:pPr>
            <w:r>
              <w:t xml:space="preserve">yes</w:t>
            </w:r>
          </w:p>
        </w:tc>
        <w:tc>
          <w:tcPr/>
          <w:p>
            <w:pPr>
              <w:pStyle w:val="Compact"/>
              <w:jc w:val="right"/>
            </w:pPr>
            <w:r>
              <w:t xml:space="preserve">20</w:t>
            </w:r>
          </w:p>
        </w:tc>
        <w:tc>
          <w:tcPr/>
          <w:p>
            <w:pPr>
              <w:pStyle w:val="Compact"/>
              <w:jc w:val="right"/>
            </w:pPr>
            <w:r>
              <w:t xml:space="preserve">20</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5"/>
        </w:numPr>
      </w:pPr>
      <w:r>
        <w:t xml:space="preserve">the exported albedo and shading layers support recolouring-style demonstrations and inspection of appearance factors on top of the primary layer graph;</w:t>
      </w:r>
    </w:p>
    <w:p>
      <w:pPr>
        <w:pStyle w:val="Compact"/>
        <w:numPr>
          <w:ilvl w:val="0"/>
          <w:numId w:val="1025"/>
        </w:numPr>
      </w:pPr>
      <w:r>
        <w:t xml:space="preserve">the factorization remains approximate and is therefore treated as a stretch component rather than as a headline benchmark claim;</w:t>
      </w:r>
    </w:p>
    <w:p>
      <w:pPr>
        <w:pStyle w:val="Compact"/>
        <w:numPr>
          <w:ilvl w:val="0"/>
          <w:numId w:val="1025"/>
        </w:numPr>
      </w:pPr>
      <w:r>
        <w:t xml:space="preserve">the corresponding visual evidence is documented in</w:t>
      </w:r>
      <w:r>
        <w:t xml:space="preserve"> </w:t>
      </w:r>
      <w:r>
        <w:rPr>
          <w:rStyle w:val="VerbatimChar"/>
        </w:rPr>
        <w:t xml:space="preserve">docs/figures/intrinsic_layer_demo.png</w:t>
      </w:r>
      <w:r>
        <w:t xml:space="preserve">.</w:t>
      </w:r>
    </w:p>
    <w:bookmarkEnd w:id="185"/>
    <w:bookmarkEnd w:id="186"/>
    <w:bookmarkStart w:id="187" w:name="appendix-c-command-log"/>
    <w:p>
      <w:pPr>
        <w:pStyle w:val="Heading1"/>
      </w:pPr>
      <w:r>
        <w:t xml:space="preserve">Appendix C: Command Log</w:t>
      </w:r>
    </w:p>
    <w:p>
      <w:pPr>
        <w:pStyle w:val="Compact"/>
        <w:numPr>
          <w:ilvl w:val="0"/>
          <w:numId w:val="1026"/>
        </w:numPr>
      </w:pPr>
      <w:hyperlink r:id="rId168">
        <w:r>
          <w:rPr>
            <w:rStyle w:val="Hyperlink"/>
          </w:rPr>
          <w:t xml:space="preserve">../../report_artifacts/command_log.md</w:t>
        </w:r>
      </w:hyperlink>
    </w:p>
    <w:bookmarkEnd w:id="187"/>
    <w:bookmarkStart w:id="190" w:name="appendix-d-extra-literature-notes"/>
    <w:p>
      <w:pPr>
        <w:pStyle w:val="Heading1"/>
      </w:pPr>
      <w:r>
        <w:t xml:space="preserve">Appendix D: Extra Literature Notes</w:t>
      </w:r>
    </w:p>
    <w:p>
      <w:pPr>
        <w:pStyle w:val="Compact"/>
        <w:numPr>
          <w:ilvl w:val="0"/>
          <w:numId w:val="1027"/>
        </w:numPr>
      </w:pPr>
      <w:hyperlink r:id="rId188">
        <w:r>
          <w:rPr>
            <w:rStyle w:val="Hyperlink"/>
          </w:rPr>
          <w:t xml:space="preserve">../LITERATURE_REVIEW.md</w:t>
        </w:r>
      </w:hyperlink>
    </w:p>
    <w:p>
      <w:pPr>
        <w:pStyle w:val="Compact"/>
        <w:numPr>
          <w:ilvl w:val="0"/>
          <w:numId w:val="1027"/>
        </w:numPr>
      </w:pPr>
      <w:hyperlink r:id="rId189">
        <w:r>
          <w:rPr>
            <w:rStyle w:val="Hyperlink"/>
          </w:rPr>
          <w:t xml:space="preserve">../REFERENCES.md</w:t>
        </w:r>
      </w:hyperlink>
    </w:p>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image" Id="rId128" Target="media/rId128.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24" Target="media/rId124.png" /><Relationship Type="http://schemas.openxmlformats.org/officeDocument/2006/relationships/hyperlink" Id="rId164" Target="../../PROJECT_MANIFEST.json" TargetMode="External" /><Relationship Type="http://schemas.openxmlformats.org/officeDocument/2006/relationships/hyperlink" Id="rId165" Target="../../report_artifacts/README.md" TargetMode="External" /><Relationship Type="http://schemas.openxmlformats.org/officeDocument/2006/relationships/hyperlink" Id="rId168" Target="../../report_artifacts/command_log.md" TargetMode="External" /><Relationship Type="http://schemas.openxmlformats.org/officeDocument/2006/relationships/hyperlink" Id="rId167" Target="../../report_artifacts/figure_sources/figure_manifest.json" TargetMode="External" /><Relationship Type="http://schemas.openxmlformats.org/officeDocument/2006/relationships/hyperlink" Id="rId166" Target="../../report_artifacts/metrics_snapshots" TargetMode="External" /><Relationship Type="http://schemas.openxmlformats.org/officeDocument/2006/relationships/hyperlink" Id="rId172" Target="../FIGURES.md" TargetMode="External" /><Relationship Type="http://schemas.openxmlformats.org/officeDocument/2006/relationships/hyperlink" Id="rId188" Target="../LITERATURE_REVIEW.md" TargetMode="External" /><Relationship Type="http://schemas.openxmlformats.org/officeDocument/2006/relationships/hyperlink" Id="rId173" Target="../PRODUCT_ARCHITECTURE_AND_LAUNCH.md" TargetMode="External" /><Relationship Type="http://schemas.openxmlformats.org/officeDocument/2006/relationships/hyperlink" Id="rId170" Target="../QWEN_IMAGE_LAYERED_COMPARISON.md" TargetMode="External" /><Relationship Type="http://schemas.openxmlformats.org/officeDocument/2006/relationships/hyperlink" Id="rId189" Target="../REFERENCES.md" TargetMode="External" /><Relationship Type="http://schemas.openxmlformats.org/officeDocument/2006/relationships/hyperlink" Id="rId171" Target="../REPORT_TABLES.md" TargetMode="External" /><Relationship Type="http://schemas.openxmlformats.org/officeDocument/2006/relationships/hyperlink" Id="rId169" Target="../RESULTS_SUMMARY_CURRENT.md" TargetMode="External" /><Relationship Type="http://schemas.openxmlformats.org/officeDocument/2006/relationships/hyperlink" Id="rId174" Target="../api/openapi.yaml" TargetMode="External" /><Relationship Type="http://schemas.openxmlformats.org/officeDocument/2006/relationships/hyperlink" Id="rId160" Target="02_BENCHMARKING_PROTOCOL.md" TargetMode="External" /><Relationship Type="http://schemas.openxmlformats.org/officeDocument/2006/relationships/hyperlink" Id="rId159"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164" Target="../../PROJECT_MANIFEST.json" TargetMode="External" /><Relationship Type="http://schemas.openxmlformats.org/officeDocument/2006/relationships/hyperlink" Id="rId165" Target="../../report_artifacts/README.md" TargetMode="External" /><Relationship Type="http://schemas.openxmlformats.org/officeDocument/2006/relationships/hyperlink" Id="rId168" Target="../../report_artifacts/command_log.md" TargetMode="External" /><Relationship Type="http://schemas.openxmlformats.org/officeDocument/2006/relationships/hyperlink" Id="rId167" Target="../../report_artifacts/figure_sources/figure_manifest.json" TargetMode="External" /><Relationship Type="http://schemas.openxmlformats.org/officeDocument/2006/relationships/hyperlink" Id="rId166" Target="../../report_artifacts/metrics_snapshots" TargetMode="External" /><Relationship Type="http://schemas.openxmlformats.org/officeDocument/2006/relationships/hyperlink" Id="rId172" Target="../FIGURES.md" TargetMode="External" /><Relationship Type="http://schemas.openxmlformats.org/officeDocument/2006/relationships/hyperlink" Id="rId188" Target="../LITERATURE_REVIEW.md" TargetMode="External" /><Relationship Type="http://schemas.openxmlformats.org/officeDocument/2006/relationships/hyperlink" Id="rId173" Target="../PRODUCT_ARCHITECTURE_AND_LAUNCH.md" TargetMode="External" /><Relationship Type="http://schemas.openxmlformats.org/officeDocument/2006/relationships/hyperlink" Id="rId170" Target="../QWEN_IMAGE_LAYERED_COMPARISON.md" TargetMode="External" /><Relationship Type="http://schemas.openxmlformats.org/officeDocument/2006/relationships/hyperlink" Id="rId189" Target="../REFERENCES.md" TargetMode="External" /><Relationship Type="http://schemas.openxmlformats.org/officeDocument/2006/relationships/hyperlink" Id="rId171" Target="../REPORT_TABLES.md" TargetMode="External" /><Relationship Type="http://schemas.openxmlformats.org/officeDocument/2006/relationships/hyperlink" Id="rId169" Target="../RESULTS_SUMMARY_CURRENT.md" TargetMode="External" /><Relationship Type="http://schemas.openxmlformats.org/officeDocument/2006/relationships/hyperlink" Id="rId174" Target="../api/openapi.yaml" TargetMode="External" /><Relationship Type="http://schemas.openxmlformats.org/officeDocument/2006/relationships/hyperlink" Id="rId160" Target="02_BENCHMARKING_PROTOCOL.md" TargetMode="External" /><Relationship Type="http://schemas.openxmlformats.org/officeDocument/2006/relationships/hyperlink" Id="rId159"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2026-04-23T09:09:04Z</dcterms:created>
  <dcterms:modified xsi:type="dcterms:W3CDTF">2026-04-23T09:09:04Z</dcterms:modified>
</cp:coreProperties>
</file>

<file path=docProps/custom.xml><?xml version="1.0" encoding="utf-8"?>
<Properties xmlns="http://schemas.openxmlformats.org/officeDocument/2006/custom-properties" xmlns:vt="http://schemas.openxmlformats.org/officeDocument/2006/docPropsVTypes"/>
</file>