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127.png" ContentType="image/png"/>
  <Override PartName="/word/media/rId143.png" ContentType="image/png"/>
  <Override PartName="/word/media/rId131.png" ContentType="image/png"/>
  <Override PartName="/word/media/rId135.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LayerForge-</w:t>
      </w:r>
      <w:r>
        <w:t xml:space="preserve">X</w:t>
      </w:r>
      <w:r>
        <w:t xml:space="preserve"> </w:t>
      </w:r>
      <w:r>
        <w:t xml:space="preserve">Final Report</w:t>
      </w:r>
    </w:p>
    <w:bookmarkStart w:id="20" w:name="abstract"/>
    <w:p>
      <w:pPr>
        <w:pStyle w:val="Heading1"/>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0"/>
    <w:bookmarkStart w:id="21" w:name="introduction"/>
    <w:p>
      <w:pPr>
        <w:pStyle w:val="Heading1"/>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1"/>
    <w:bookmarkStart w:id="22" w:name="contributions"/>
    <w:p>
      <w:pPr>
        <w:pStyle w:val="Heading1"/>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2"/>
    <w:bookmarkStart w:id="37" w:name="related-work"/>
    <w:p>
      <w:pPr>
        <w:pStyle w:val="Heading1"/>
      </w:pPr>
      <w:r>
        <w:t xml:space="preserve">3. Related Work</w:t>
      </w:r>
    </w:p>
    <w:bookmarkStart w:id="23"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3"/>
    <w:bookmarkStart w:id="24"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4"/>
    <w:bookmarkStart w:id="25"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5"/>
    <w:bookmarkStart w:id="26"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6"/>
    <w:bookmarkStart w:id="27"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7"/>
    <w:bookmarkStart w:id="28"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8"/>
    <w:bookmarkStart w:id="29"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29"/>
    <w:bookmarkStart w:id="30"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0"/>
    <w:bookmarkStart w:id="31"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1"/>
    <w:bookmarkStart w:id="32"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2"/>
    <w:bookmarkStart w:id="33"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3"/>
    <w:bookmarkStart w:id="34"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4"/>
    <w:bookmarkStart w:id="35"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5"/>
    <w:bookmarkStart w:id="36"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6"/>
    <w:bookmarkEnd w:id="37"/>
    <w:bookmarkStart w:id="61" w:name="method"/>
    <w:p>
      <w:pPr>
        <w:pStyle w:val="Heading1"/>
      </w:pPr>
      <w:r>
        <w:t xml:space="preserve">4. Method</w:t>
      </w:r>
    </w:p>
    <w:bookmarkStart w:id="38"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8"/>
    <w:bookmarkStart w:id="39"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39"/>
    <w:bookmarkStart w:id="43" w:name="boundary-weighted-occlusion-graph"/>
    <w:p>
      <w:pPr>
        <w:pStyle w:val="Heading2"/>
      </w:pPr>
      <w:r>
        <w:t xml:space="preserve">4.3 Boundary-weighted occlusion graph</w:t>
      </w:r>
    </w:p>
    <w:bookmarkStart w:id="40"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0"/>
    <w:bookmarkStart w:id="41"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1"/>
    <w:bookmarkStart w:id="42"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2"/>
    <w:bookmarkEnd w:id="43"/>
    <w:bookmarkStart w:id="44"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4"/>
    <w:bookmarkStart w:id="45"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5"/>
    <w:bookmarkStart w:id="46"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penalties against copy-like decompositions</w:t>
      </w:r>
      <w:r>
        <w:br/>
      </w:r>
      <w:r>
        <w:rPr>
          <w:rStyle w:val="VerbatimChar"/>
        </w:rPr>
        <w:t xml:space="preserve">semantic separation</w:t>
      </w:r>
      <w:r>
        <w:br/>
      </w:r>
      <w:r>
        <w:rPr>
          <w:rStyle w:val="VerbatimChar"/>
        </w:rPr>
        <w:t xml:space="preserve">alpha quality</w:t>
      </w:r>
      <w:r>
        <w:br/>
      </w:r>
      <w:r>
        <w:rPr>
          <w:rStyle w:val="VerbatimChar"/>
        </w:rPr>
        <w:t xml:space="preserve">graph confidence</w:t>
      </w:r>
    </w:p>
    <w:p>
      <w:pPr>
        <w:pStyle w:val="FirstParagraph"/>
      </w:pPr>
      <w:r>
        <w:t xml:space="preserve">In the committed five-image frontier summary, the active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p>
    <w:p>
      <w:pPr>
        <w:pStyle w:val="FirstParagraph"/>
      </w:pPr>
      <w:r>
        <w:t xml:space="preserve">The implementation still supports an optional runtime term for future reruns with fresh timings, but the shipped frontier summary was rescored from cached runs and therefore keeps runtime inactive. This formulation still turns the repository into a self-evaluating layer-representation system rather than a single fixed pipeline.</w:t>
      </w:r>
    </w:p>
    <w:bookmarkEnd w:id="46"/>
    <w:bookmarkStart w:id="47"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7"/>
    <w:bookmarkStart w:id="48"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The current repository uses a lightweight heuristic:</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8"/>
    <w:bookmarkStart w:id="49"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49"/>
    <w:bookmarkStart w:id="59" w:name="full-pipeline"/>
    <w:p>
      <w:pPr>
        <w:pStyle w:val="Heading2"/>
      </w:pPr>
      <w:r>
        <w:t xml:space="preserve">4.10 Full pipeline</w:t>
      </w:r>
    </w:p>
    <w:bookmarkStart w:id="50"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0"/>
    <w:bookmarkStart w:id="51"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1"/>
    <w:bookmarkStart w:id="52"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2"/>
    <w:bookmarkStart w:id="53"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3"/>
    <w:bookmarkStart w:id="54"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4"/>
    <w:bookmarkStart w:id="55" w:name="step-6-amodal-expansion"/>
    <w:p>
      <w:pPr>
        <w:pStyle w:val="Heading3"/>
      </w:pPr>
      <w:r>
        <w:t xml:space="preserve">Step 6: Amodal expansion</w:t>
      </w:r>
    </w:p>
    <w:p>
      <w:pPr>
        <w:pStyle w:val="FirstParagraph"/>
      </w:pPr>
      <w:r>
        <w:t xml:space="preserve">Full object masks and hidden regions are estimated conservatively.</w:t>
      </w:r>
    </w:p>
    <w:bookmarkEnd w:id="55"/>
    <w:bookmarkStart w:id="56"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6"/>
    <w:bookmarkStart w:id="57"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7"/>
    <w:bookmarkStart w:id="58"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8"/>
    <w:bookmarkEnd w:id="59"/>
    <w:bookmarkStart w:id="60"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0"/>
    <w:bookmarkEnd w:id="61"/>
    <w:bookmarkStart w:id="122" w:name="experiments-and-evaluation-protocol"/>
    <w:p>
      <w:pPr>
        <w:pStyle w:val="Heading1"/>
      </w:pPr>
      <w:r>
        <w:t xml:space="preserve">5. Experiments and Evaluation Protocol</w:t>
      </w:r>
    </w:p>
    <w:bookmarkStart w:id="62"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distinct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present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reported artifacts for quantitative results.</w:t>
      </w:r>
      <w:r>
        <w:t xml:space="preserve"> </w:t>
      </w:r>
      <w:r>
        <w:rPr>
          <w:rStyle w:val="VerbatimChar"/>
        </w:rPr>
        <w:t xml:space="preserve">docs/RESULTS_SUMMARY_CURRENT.md</w:t>
      </w:r>
      <w:r>
        <w:t xml:space="preserve"> </w:t>
      </w:r>
      <w:r>
        <w:t xml:space="preserve">provides a prose summary of those artifacts.</w:t>
      </w:r>
    </w:p>
    <w:p>
      <w:r>
        <w:pict>
          <v:rect style="width:0;height:1.5pt" o:hralign="center" o:hrstd="t" o:hr="t"/>
        </w:pict>
      </w:r>
    </w:p>
    <w:bookmarkEnd w:id="62"/>
    <w:bookmarkStart w:id="63" w:name="modal-semantic-and-panoptic-segmentation"/>
    <w:p>
      <w:pPr>
        <w:pStyle w:val="Heading2"/>
      </w:pPr>
      <w:r>
        <w:t xml:space="preserve">5.1 Modal semantic and panoptic segmentation</w:t>
      </w:r>
    </w:p>
    <w:bookmarkEnd w:id="63"/>
    <w:bookmarkStart w:id="64"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4"/>
    <w:bookmarkStart w:id="67" w:name="metrics"/>
    <w:p>
      <w:pPr>
        <w:pStyle w:val="Heading2"/>
      </w:pPr>
      <w:r>
        <w:t xml:space="preserve">Metrics</w:t>
      </w:r>
    </w:p>
    <w:bookmarkStart w:id="65"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5"/>
    <w:bookmarkStart w:id="66"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6"/>
    <w:bookmarkEnd w:id="67"/>
    <w:bookmarkStart w:id="68"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8"/>
    <w:bookmarkStart w:id="69"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present repository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69"/>
    <w:bookmarkStart w:id="70" w:name="depth-order-and-occlusion-graph-quality"/>
    <w:p>
      <w:pPr>
        <w:pStyle w:val="Heading2"/>
      </w:pPr>
      <w:r>
        <w:t xml:space="preserve">5.2 Depth-order and occlusion-graph quality</w:t>
      </w:r>
    </w:p>
    <w:bookmarkEnd w:id="70"/>
    <w:bookmarkStart w:id="71"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1"/>
    <w:bookmarkStart w:id="72"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2"/>
    <w:bookmarkStart w:id="73"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3"/>
    <w:bookmarkStart w:id="78" w:name="metrics-1"/>
    <w:p>
      <w:pPr>
        <w:pStyle w:val="Heading2"/>
      </w:pPr>
      <w:r>
        <w:t xml:space="preserve">Metrics</w:t>
      </w:r>
    </w:p>
    <w:bookmarkStart w:id="74"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4"/>
    <w:bookmarkStart w:id="75"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5"/>
    <w:bookmarkStart w:id="76"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6"/>
    <w:bookmarkStart w:id="77"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which provides a compact summary when the order is fully defined.</w:t>
      </w:r>
    </w:p>
    <w:bookmarkEnd w:id="77"/>
    <w:bookmarkEnd w:id="78"/>
    <w:bookmarkStart w:id="79"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79"/>
    <w:bookmarkStart w:id="80" w:name="rgba-recomposition-fidelity"/>
    <w:p>
      <w:pPr>
        <w:pStyle w:val="Heading2"/>
      </w:pPr>
      <w:r>
        <w:t xml:space="preserve">5.3 RGBA recomposition fidelity</w:t>
      </w:r>
    </w:p>
    <w:bookmarkEnd w:id="80"/>
    <w:bookmarkStart w:id="81"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1"/>
    <w:bookmarkStart w:id="82"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2"/>
    <w:bookmarkStart w:id="87" w:name="metrics-2"/>
    <w:p>
      <w:pPr>
        <w:pStyle w:val="Heading2"/>
      </w:pPr>
      <w:r>
        <w:t xml:space="preserve">Metrics</w:t>
      </w:r>
    </w:p>
    <w:bookmarkStart w:id="83"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3"/>
    <w:bookmarkStart w:id="84" w:name="structural-similarity"/>
    <w:p>
      <w:pPr>
        <w:pStyle w:val="Heading3"/>
      </w:pPr>
      <w:r>
        <w:t xml:space="preserve">Structural similarity</w:t>
      </w:r>
    </w:p>
    <w:p>
      <w:pPr>
        <w:pStyle w:val="FirstParagraph"/>
      </w:pPr>
      <w:r>
        <w:t xml:space="preserve">SSIM or MS-SSIM.</w:t>
      </w:r>
    </w:p>
    <w:bookmarkEnd w:id="84"/>
    <w:bookmarkStart w:id="85" w:name="perceptual-similarity"/>
    <w:p>
      <w:pPr>
        <w:pStyle w:val="Heading3"/>
      </w:pPr>
      <w:r>
        <w:t xml:space="preserve">Perceptual similarity</w:t>
      </w:r>
    </w:p>
    <w:p>
      <w:pPr>
        <w:pStyle w:val="FirstParagraph"/>
      </w:pPr>
      <w:r>
        <w:t xml:space="preserve">LPIPS, when available. Lower values are better.</w:t>
      </w:r>
    </w:p>
    <w:bookmarkEnd w:id="85"/>
    <w:bookmarkStart w:id="86"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6"/>
    <w:bookmarkEnd w:id="87"/>
    <w:bookmarkStart w:id="88"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8"/>
    <w:bookmarkStart w:id="89" w:name="Xe1a9d897ee24f294c85f4d7938585d53a12899b"/>
    <w:p>
      <w:pPr>
        <w:pStyle w:val="Heading2"/>
      </w:pPr>
      <w:r>
        <w:t xml:space="preserve">5.4 Amodal masks and hidden-region completion</w:t>
      </w:r>
    </w:p>
    <w:bookmarkEnd w:id="89"/>
    <w:bookmarkStart w:id="90"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0"/>
    <w:bookmarkStart w:id="95" w:name="metrics-3"/>
    <w:p>
      <w:pPr>
        <w:pStyle w:val="Heading2"/>
      </w:pPr>
      <w:r>
        <w:t xml:space="preserve">Metrics</w:t>
      </w:r>
    </w:p>
    <w:bookmarkStart w:id="91"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1"/>
    <w:bookmarkStart w:id="92"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2"/>
    <w:bookmarkStart w:id="93"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3"/>
    <w:bookmarkStart w:id="94"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4"/>
    <w:bookmarkEnd w:id="95"/>
    <w:bookmarkStart w:id="96"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6"/>
    <w:bookmarkStart w:id="97" w:name="intrinsic-albedo-and-shading-split"/>
    <w:p>
      <w:pPr>
        <w:pStyle w:val="Heading2"/>
      </w:pPr>
      <w:r>
        <w:t xml:space="preserve">5.5 Intrinsic albedo and shading split</w:t>
      </w:r>
    </w:p>
    <w:bookmarkEnd w:id="97"/>
    <w:bookmarkStart w:id="98"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8"/>
    <w:bookmarkStart w:id="102" w:name="metrics-4"/>
    <w:p>
      <w:pPr>
        <w:pStyle w:val="Heading2"/>
      </w:pPr>
      <w:r>
        <w:t xml:space="preserve">Metrics</w:t>
      </w:r>
    </w:p>
    <w:bookmarkStart w:id="99" w:name="whdr-on-iiw"/>
    <w:p>
      <w:pPr>
        <w:pStyle w:val="Heading3"/>
      </w:pPr>
      <w:r>
        <w:t xml:space="preserve">WHDR on IIW</w:t>
      </w:r>
    </w:p>
    <w:p>
      <w:pPr>
        <w:pStyle w:val="FirstParagraph"/>
      </w:pPr>
      <w:r>
        <w:t xml:space="preserve">WHDR measures whether predicted reflectance comparisons agree with human judgments. Lower is better.</w:t>
      </w:r>
    </w:p>
    <w:bookmarkEnd w:id="99"/>
    <w:bookmarkStart w:id="100"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0"/>
    <w:bookmarkStart w:id="101"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1"/>
    <w:bookmarkEnd w:id="102"/>
    <w:bookmarkStart w:id="103"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3"/>
    <w:bookmarkStart w:id="104" w:name="editability-evaluation"/>
    <w:p>
      <w:pPr>
        <w:pStyle w:val="Heading2"/>
      </w:pPr>
      <w:r>
        <w:t xml:space="preserve">5.6 Editability evaluation</w:t>
      </w:r>
    </w:p>
    <w:bookmarkEnd w:id="104"/>
    <w:bookmarkStart w:id="105" w:name="why-this-matters-2"/>
    <w:p>
      <w:pPr>
        <w:pStyle w:val="Heading2"/>
      </w:pPr>
      <w:r>
        <w:t xml:space="preserve">Why this matters</w:t>
      </w:r>
    </w:p>
    <w:p>
      <w:pPr>
        <w:pStyle w:val="FirstParagraph"/>
      </w:pPr>
      <w:r>
        <w:t xml:space="preserve">The principal motivation for layered representations is editing. The evaluation should therefore demonstrate that the representation supports practical operations rather than only scoring well on segmentation benchmarks.</w:t>
      </w:r>
    </w:p>
    <w:bookmarkEnd w:id="105"/>
    <w:bookmarkStart w:id="106"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6"/>
    <w:bookmarkStart w:id="110" w:name="metrics-5"/>
    <w:p>
      <w:pPr>
        <w:pStyle w:val="Heading2"/>
      </w:pPr>
      <w:r>
        <w:t xml:space="preserve">Metrics</w:t>
      </w:r>
    </w:p>
    <w:bookmarkStart w:id="107"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7"/>
    <w:bookmarkStart w:id="108"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8"/>
    <w:bookmarkStart w:id="109"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09"/>
    <w:bookmarkEnd w:id="110"/>
    <w:bookmarkStart w:id="111"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1"/>
    <w:bookmarkStart w:id="112" w:name="synthetic-layerbench-design"/>
    <w:p>
      <w:pPr>
        <w:pStyle w:val="Heading2"/>
      </w:pPr>
      <w:r>
        <w:t xml:space="preserve">5.7 Synthetic-LayerBench design</w:t>
      </w:r>
    </w:p>
    <w:p>
      <w:pPr>
        <w:pStyle w:val="FirstParagraph"/>
      </w:pPr>
      <w:r>
        <w:t xml:space="preserve">This is the easiest path to strong, defensible numbers, precisely because ground truth is known by construction.</w:t>
      </w:r>
    </w:p>
    <w:bookmarkEnd w:id="112"/>
    <w:bookmarkStart w:id="113"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3"/>
    <w:bookmarkStart w:id="114"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4"/>
    <w:bookmarkStart w:id="115"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5"/>
    <w:bookmarkStart w:id="116" w:name="rich-synthetic-export-now-implemented"/>
    <w:p>
      <w:pPr>
        <w:pStyle w:val="Heading2"/>
      </w:pPr>
      <w:r>
        <w:t xml:space="preserve">Rich synthetic export now implemented</w:t>
      </w:r>
    </w:p>
    <w:p>
      <w:pPr>
        <w:pStyle w:val="FirstParagraph"/>
      </w:pPr>
      <w:r>
        <w:t xml:space="preserve">The repository currently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6"/>
    <w:bookmarkStart w:id="117" w:name="ablation-protocol"/>
    <w:p>
      <w:pPr>
        <w:pStyle w:val="Heading2"/>
      </w:pPr>
      <w:r>
        <w:t xml:space="preserve">5.8 Ablation protocol</w:t>
      </w:r>
    </w:p>
    <w:p>
      <w:pPr>
        <w:pStyle w:val="FirstParagraph"/>
      </w:pPr>
      <w:r>
        <w:t xml:space="preserve">Run a controlled set in which one component changes at a time. Only this type of comparison can attribute gains to a specific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End w:id="117"/>
    <w:bookmarkStart w:id="118"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8"/>
    <w:bookmarkStart w:id="119" w:name="visual-evidence-set"/>
    <w:p>
      <w:pPr>
        <w:pStyle w:val="Heading2"/>
      </w:pPr>
      <w:r>
        <w:t xml:space="preserve">5.9 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19"/>
    <w:bookmarkStart w:id="120" w:name="failure-case-taxonomy"/>
    <w:p>
      <w:pPr>
        <w:pStyle w:val="Heading2"/>
      </w:pPr>
      <w:r>
        <w:t xml:space="preserve">5.10 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0"/>
    <w:bookmarkStart w:id="121" w:name="benchmark-narrative"/>
    <w:p>
      <w:pPr>
        <w:pStyle w:val="Heading2"/>
      </w:pPr>
      <w:r>
        <w:t xml:space="preserve">5.11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21"/>
    <w:bookmarkEnd w:id="122"/>
    <w:bookmarkStart w:id="156" w:name="results"/>
    <w:p>
      <w:pPr>
        <w:pStyle w:val="Heading1"/>
      </w:pPr>
      <w:r>
        <w:t xml:space="preserve">6. Results</w:t>
      </w:r>
    </w:p>
    <w:bookmarkStart w:id="147" w:name="hero-figures"/>
    <w:p>
      <w:pPr>
        <w:pStyle w:val="Heading3"/>
      </w:pPr>
      <w:r>
        <w:t xml:space="preserve">Hero figures</w:t>
      </w:r>
    </w:p>
    <w:bookmarkStart w:id="126"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4" name="Picture"/>
            <a:graphic>
              <a:graphicData uri="http://schemas.openxmlformats.org/drawingml/2006/picture">
                <pic:pic>
                  <pic:nvPicPr>
                    <pic:cNvPr descr="../figures/truck_recomposition_comparison.png" id="125" name="Picture"/>
                    <pic:cNvPicPr>
                      <a:picLocks noChangeArrowheads="1" noChangeAspect="1"/>
                    </pic:cNvPicPr>
                  </pic:nvPicPr>
                  <pic:blipFill>
                    <a:blip r:embed="rId123"/>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6"/>
    <w:bookmarkStart w:id="130" w:name="frontier-candidate-bank-selection"/>
    <w:p>
      <w:pPr>
        <w:pStyle w:val="Heading4"/>
      </w:pPr>
      <w:r>
        <w:t xml:space="preserve">Frontier candidate-bank selection</w:t>
      </w:r>
    </w:p>
    <w:p>
      <w:pPr>
        <w:pStyle w:val="CaptionedFigure"/>
      </w:pPr>
      <w:r>
        <w:drawing>
          <wp:inline>
            <wp:extent cx="5334000" cy="2637692"/>
            <wp:effectExtent b="0" l="0" r="0" t="0"/>
            <wp:docPr descr="Frontier review" title="" id="128" name="Picture"/>
            <a:graphic>
              <a:graphicData uri="http://schemas.openxmlformats.org/drawingml/2006/picture">
                <pic:pic>
                  <pic:nvPicPr>
                    <pic:cNvPr descr="../figures/frontier_review.png" id="129" name="Picture"/>
                    <pic:cNvPicPr>
                      <a:picLocks noChangeArrowheads="1" noChangeAspect="1"/>
                    </pic:cNvPicPr>
                  </pic:nvPicPr>
                  <pic:blipFill>
                    <a:blip r:embed="rId127"/>
                    <a:stretch>
                      <a:fillRect/>
                    </a:stretch>
                  </pic:blipFill>
                  <pic:spPr bwMode="auto">
                    <a:xfrm>
                      <a:off x="0" y="0"/>
                      <a:ext cx="5334000" cy="2637692"/>
                    </a:xfrm>
                    <a:prstGeom prst="rect">
                      <a:avLst/>
                    </a:prstGeom>
                    <a:noFill/>
                    <a:ln w="9525">
                      <a:noFill/>
                      <a:headEnd/>
                      <a:tailEnd/>
                    </a:ln>
                  </pic:spPr>
                </pic:pic>
              </a:graphicData>
            </a:graphic>
          </wp:inline>
        </w:drawing>
      </w:r>
    </w:p>
    <w:p>
      <w:pPr>
        <w:pStyle w:val="ImageCaption"/>
      </w:pPr>
      <w:r>
        <w:t xml:space="preserve">Frontier review</w:t>
      </w:r>
    </w:p>
    <w:bookmarkEnd w:id="130"/>
    <w:bookmarkStart w:id="134" w:name="promptable-extraction-benchmark"/>
    <w:p>
      <w:pPr>
        <w:pStyle w:val="Heading4"/>
      </w:pPr>
      <w:r>
        <w:t xml:space="preserve">Promptable extraction benchmark</w:t>
      </w:r>
    </w:p>
    <w:p>
      <w:pPr>
        <w:pStyle w:val="CaptionedFigure"/>
      </w:pPr>
      <w:r>
        <w:drawing>
          <wp:inline>
            <wp:extent cx="5334000" cy="1875692"/>
            <wp:effectExtent b="0" l="0" r="0" t="0"/>
            <wp:docPr descr="Prompt extraction benchmark" title="" id="132" name="Picture"/>
            <a:graphic>
              <a:graphicData uri="http://schemas.openxmlformats.org/drawingml/2006/picture">
                <pic:pic>
                  <pic:nvPicPr>
                    <pic:cNvPr descr="../figures/prompt_extract_benchmark.png" id="133" name="Picture"/>
                    <pic:cNvPicPr>
                      <a:picLocks noChangeArrowheads="1" noChangeAspect="1"/>
                    </pic:cNvPicPr>
                  </pic:nvPicPr>
                  <pic:blipFill>
                    <a:blip r:embed="rId131"/>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Prompt extraction benchmark</w:t>
      </w:r>
    </w:p>
    <w:bookmarkEnd w:id="134"/>
    <w:bookmarkStart w:id="138" w:name="transparent-decomposition-benchmark"/>
    <w:p>
      <w:pPr>
        <w:pStyle w:val="Heading4"/>
      </w:pPr>
      <w:r>
        <w:t xml:space="preserve">Transparent decomposition benchmark</w:t>
      </w:r>
    </w:p>
    <w:p>
      <w:pPr>
        <w:pStyle w:val="CaptionedFigure"/>
      </w:pPr>
      <w:r>
        <w:drawing>
          <wp:inline>
            <wp:extent cx="5334000" cy="1875692"/>
            <wp:effectExtent b="0" l="0" r="0" t="0"/>
            <wp:docPr descr="Transparent benchmark" title="" id="136" name="Picture"/>
            <a:graphic>
              <a:graphicData uri="http://schemas.openxmlformats.org/drawingml/2006/picture">
                <pic:pic>
                  <pic:nvPicPr>
                    <pic:cNvPr descr="../figures/transparent_benchmark.png" id="137" name="Picture"/>
                    <pic:cNvPicPr>
                      <a:picLocks noChangeArrowheads="1" noChangeAspect="1"/>
                    </pic:cNvPicPr>
                  </pic:nvPicPr>
                  <pic:blipFill>
                    <a:blip r:embed="rId135"/>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Transparent benchmark</w:t>
      </w:r>
    </w:p>
    <w:bookmarkEnd w:id="138"/>
    <w:bookmarkStart w:id="142" w:name="associated-effect-prototype"/>
    <w:p>
      <w:pPr>
        <w:pStyle w:val="Heading4"/>
      </w:pPr>
      <w:r>
        <w:t xml:space="preserve">Associated-effect prototype</w:t>
      </w:r>
    </w:p>
    <w:p>
      <w:pPr>
        <w:pStyle w:val="CaptionedFigure"/>
      </w:pPr>
      <w:r>
        <w:drawing>
          <wp:inline>
            <wp:extent cx="5334000" cy="2520461"/>
            <wp:effectExtent b="0" l="0" r="0" t="0"/>
            <wp:docPr descr="Associated-effect demo" title="" id="140" name="Picture"/>
            <a:graphic>
              <a:graphicData uri="http://schemas.openxmlformats.org/drawingml/2006/picture">
                <pic:pic>
                  <pic:nvPicPr>
                    <pic:cNvPr descr="../figures/effects_layer_demo.png" id="141" name="Picture"/>
                    <pic:cNvPicPr>
                      <a:picLocks noChangeArrowheads="1" noChangeAspect="1"/>
                    </pic:cNvPicPr>
                  </pic:nvPicPr>
                  <pic:blipFill>
                    <a:blip r:embed="rId139"/>
                    <a:stretch>
                      <a:fillRect/>
                    </a:stretch>
                  </pic:blipFill>
                  <pic:spPr bwMode="auto">
                    <a:xfrm>
                      <a:off x="0" y="0"/>
                      <a:ext cx="5334000" cy="2520461"/>
                    </a:xfrm>
                    <a:prstGeom prst="rect">
                      <a:avLst/>
                    </a:prstGeom>
                    <a:noFill/>
                    <a:ln w="9525">
                      <a:noFill/>
                      <a:headEnd/>
                      <a:tailEnd/>
                    </a:ln>
                  </pic:spPr>
                </pic:pic>
              </a:graphicData>
            </a:graphic>
          </wp:inline>
        </w:drawing>
      </w:r>
    </w:p>
    <w:p>
      <w:pPr>
        <w:pStyle w:val="ImageCaption"/>
      </w:pPr>
      <w:r>
        <w:t xml:space="preserve">Associated-effect demo</w:t>
      </w:r>
    </w:p>
    <w:bookmarkEnd w:id="142"/>
    <w:bookmarkStart w:id="146" w:name="intrinsic-export-demo"/>
    <w:p>
      <w:pPr>
        <w:pStyle w:val="Heading4"/>
      </w:pPr>
      <w:r>
        <w:t xml:space="preserve">Intrinsic export demo</w:t>
      </w:r>
    </w:p>
    <w:p>
      <w:pPr>
        <w:pStyle w:val="CaptionedFigure"/>
      </w:pPr>
      <w:r>
        <w:drawing>
          <wp:inline>
            <wp:extent cx="5334000" cy="3719763"/>
            <wp:effectExtent b="0" l="0" r="0" t="0"/>
            <wp:docPr descr="Intrinsic layer demo" title="" id="144" name="Picture"/>
            <a:graphic>
              <a:graphicData uri="http://schemas.openxmlformats.org/drawingml/2006/picture">
                <pic:pic>
                  <pic:nvPicPr>
                    <pic:cNvPr descr="../figures/intrinsic_layer_demo.png" id="145" name="Picture"/>
                    <pic:cNvPicPr>
                      <a:picLocks noChangeArrowheads="1" noChangeAspect="1"/>
                    </pic:cNvPicPr>
                  </pic:nvPicPr>
                  <pic:blipFill>
                    <a:blip r:embed="rId143"/>
                    <a:stretch>
                      <a:fillRect/>
                    </a:stretch>
                  </pic:blipFill>
                  <pic:spPr bwMode="auto">
                    <a:xfrm>
                      <a:off x="0" y="0"/>
                      <a:ext cx="5334000" cy="3719763"/>
                    </a:xfrm>
                    <a:prstGeom prst="rect">
                      <a:avLst/>
                    </a:prstGeom>
                    <a:noFill/>
                    <a:ln w="9525">
                      <a:noFill/>
                      <a:headEnd/>
                      <a:tailEnd/>
                    </a:ln>
                  </pic:spPr>
                </pic:pic>
              </a:graphicData>
            </a:graphic>
          </wp:inline>
        </w:drawing>
      </w:r>
    </w:p>
    <w:p>
      <w:pPr>
        <w:pStyle w:val="ImageCaption"/>
      </w:pPr>
      <w:r>
        <w:t xml:space="preserve">Intrinsic layer demo</w:t>
      </w:r>
    </w:p>
    <w:bookmarkEnd w:id="146"/>
    <w:bookmarkEnd w:id="147"/>
    <w:bookmarkStart w:id="154"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 raw4</w:t>
      </w:r>
      <w:r>
        <w:t xml:space="preserve"> </w:t>
      </w:r>
      <w:r>
        <w:t xml:space="preserve">= four-layer raw Qwen,</w:t>
      </w:r>
      <w:r>
        <w:t xml:space="preserve"> </w:t>
      </w:r>
      <w:r>
        <w:rPr>
          <w:rStyle w:val="VerbatimChar"/>
        </w:rPr>
        <w:t xml:space="preserve">Q+G-P4</w:t>
      </w:r>
      <w:r>
        <w:t xml:space="preserve"> </w:t>
      </w:r>
      <w:r>
        <w:t xml:space="preserve">= four-layer Qwen plus LayerForge graph enrichment with the selected external visual stack preserved, and</w:t>
      </w:r>
      <w:r>
        <w:t xml:space="preserve"> </w:t>
      </w:r>
      <w:r>
        <w:rPr>
          <w:rStyle w:val="VerbatimChar"/>
        </w:rPr>
        <w:t xml:space="preserve">Q+G-R4</w:t>
      </w:r>
      <w:r>
        <w:t xml:space="preserve"> </w:t>
      </w:r>
      <w:r>
        <w:t xml:space="preserve">= the same imported four-layer stack exported in graph order.</w:t>
      </w:r>
    </w:p>
    <w:bookmarkStart w:id="148" w:name="five-image-qwen-raw-versus-hybrid-review"/>
    <w:p>
      <w:pPr>
        <w:pStyle w:val="Heading4"/>
      </w:pPr>
      <w:r>
        <w:t xml:space="preserve">Five-image Qwen raw versus hybrid review</w:t>
      </w:r>
    </w:p>
    <w:p>
      <w:pPr>
        <w:pStyle w:val="FirstParagraph"/>
      </w:pPr>
      <w:r>
        <w:t xml:space="preserve">All rows below are five-image means.</w:t>
      </w:r>
      <w:r>
        <w:t xml:space="preserve"> </w:t>
      </w:r>
      <w:r>
        <w:rPr>
          <w:rStyle w:val="VerbatimChar"/>
        </w:rPr>
        <w:t xml:space="preserve">Q+G-P4</w:t>
      </w:r>
      <w:r>
        <w:t xml:space="preserve"> </w:t>
      </w:r>
      <w:r>
        <w:t xml:space="preserve">keeps the selected external Qwen stack, while</w:t>
      </w:r>
      <w:r>
        <w:t xml:space="preserve"> </w:t>
      </w:r>
      <w:r>
        <w:rPr>
          <w:rStyle w:val="VerbatimChar"/>
        </w:rPr>
        <w:t xml:space="preserve">Q+G-R4</w:t>
      </w:r>
      <w:r>
        <w:t xml:space="preserve"> </w:t>
      </w:r>
      <w:r>
        <w:t xml:space="preserve">exports the same imported layers in graph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bl>
    <w:bookmarkEnd w:id="148"/>
    <w:bookmarkStart w:id="149" w:name="associated-effect-demo"/>
    <w:p>
      <w:pPr>
        <w:pStyle w:val="Heading4"/>
      </w:pPr>
      <w:r>
        <w:t xml:space="preserve">Associated-effect demo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Predicted effect pixels</w:t>
            </w:r>
          </w:p>
        </w:tc>
        <w:tc>
          <w:tcPr/>
          <w:p>
            <w:pPr>
              <w:pStyle w:val="Compact"/>
              <w:jc w:val="right"/>
            </w:pPr>
            <w:r>
              <w:t xml:space="preserve">4853</w:t>
            </w:r>
          </w:p>
        </w:tc>
      </w:tr>
      <w:tr>
        <w:tc>
          <w:tcPr/>
          <w:p>
            <w:pPr>
              <w:pStyle w:val="Compact"/>
            </w:pPr>
            <w:r>
              <w:t xml:space="preserve">Ground-truth effect pixels</w:t>
            </w:r>
          </w:p>
        </w:tc>
        <w:tc>
          <w:tcPr/>
          <w:p>
            <w:pPr>
              <w:pStyle w:val="Compact"/>
              <w:jc w:val="right"/>
            </w:pPr>
            <w:r>
              <w:t xml:space="preserve">13750</w:t>
            </w:r>
          </w:p>
        </w:tc>
      </w:tr>
      <w:tr>
        <w:tc>
          <w:tcPr/>
          <w:p>
            <w:pPr>
              <w:pStyle w:val="Compact"/>
            </w:pPr>
            <w:r>
              <w:t xml:space="preserve">Effect IoU</w:t>
            </w:r>
          </w:p>
        </w:tc>
        <w:tc>
          <w:tcPr/>
          <w:p>
            <w:pPr>
              <w:pStyle w:val="Compact"/>
              <w:jc w:val="right"/>
            </w:pPr>
            <w:r>
              <w:t xml:space="preserve">0.3529</w:t>
            </w:r>
          </w:p>
        </w:tc>
      </w:tr>
    </w:tbl>
    <w:bookmarkEnd w:id="149"/>
    <w:bookmarkStart w:id="150" w:name="X0e9e3f984752b954aaab98655e513f4cd780034"/>
    <w:p>
      <w:pPr>
        <w:pStyle w:val="Heading4"/>
      </w:pPr>
      <w:r>
        <w:t xml:space="preserve">Five-image frontier candidate-bank review</w:t>
      </w:r>
    </w:p>
    <w:p>
      <w:pPr>
        <w:pStyle w:val="FirstParagraph"/>
      </w:pPr>
      <w:r>
        <w:t xml:space="preserve">All rows below are five-image means.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0.6981</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0.5314</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0.2824</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0.5843</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0.5834</w:t>
            </w:r>
          </w:p>
        </w:tc>
        <w:tc>
          <w:tcPr/>
          <w:p>
            <w:pPr>
              <w:pStyle w:val="Compact"/>
              <w:jc w:val="right"/>
            </w:pPr>
            <w:r>
              <w:t xml:space="preserve">1</w:t>
            </w:r>
          </w:p>
        </w:tc>
      </w:tr>
    </w:tbl>
    <w:bookmarkEnd w:id="150"/>
    <w:bookmarkStart w:id="151" w:name="five-image-editability-suite"/>
    <w:p>
      <w:pPr>
        <w:pStyle w:val="Heading4"/>
      </w:pPr>
      <w:r>
        <w:t xml:space="preserve">Five-image editability suite</w:t>
      </w:r>
    </w:p>
    <w:p>
      <w:pPr>
        <w:pStyle w:val="FirstParagraph"/>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bookmarkEnd w:id="151"/>
    <w:bookmarkStart w:id="152"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bookmarkEnd w:id="152"/>
    <w:bookmarkStart w:id="153"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bookmarkEnd w:id="153"/>
    <w:bookmarkEnd w:id="154"/>
    <w:bookmarkStart w:id="155"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most direct metadata-first hybrid comparison because it keeps the selected external visual stack while adding graph structure, amodal masks, ordering metadata, and intrinsic artifacts.</w:t>
      </w:r>
    </w:p>
    <w:p>
      <w:pPr>
        <w:pStyle w:val="Compact"/>
        <w:numPr>
          <w:ilvl w:val="0"/>
          <w:numId w:val="1016"/>
        </w:numPr>
      </w:pPr>
      <w:r>
        <w:t xml:space="preserve">The editability suite prevents the selector from favoring copy-like decompositions,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Text-bearing prompts currently carry the semantic routing load, while point-only and box-only prompts still need better disambiguation.</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p>
      <w:pPr>
        <w:pStyle w:val="Compact"/>
        <w:numPr>
          <w:ilvl w:val="0"/>
          <w:numId w:val="1016"/>
        </w:numPr>
      </w:pPr>
      <w:r>
        <w:t xml:space="preserve">The intrinsic export path is present as a Retinex-style stretch module. The new intrinsic demo figure should be read as evidence of exported appearance factors for recolouring-style edits, not as a standalone intrinsic benchmark.</w:t>
      </w:r>
    </w:p>
    <w:bookmarkEnd w:id="155"/>
    <w:bookmarkEnd w:id="156"/>
    <w:bookmarkStart w:id="157" w:name="discussion"/>
    <w:p>
      <w:pPr>
        <w:pStyle w:val="Heading1"/>
      </w:pPr>
      <w:r>
        <w:t xml:space="preserve">7. Discussion</w:t>
      </w:r>
    </w:p>
    <w:p>
      <w:pPr>
        <w:pStyle w:val="FirstParagraph"/>
      </w:pPr>
      <w:r>
        <w:t xml:space="preserve">The current results do not support the claim that LayerForge-X universally exceeds generative decomposers on raw pixel fidelity. The defensible claim is narrower and more important: native, generative, and recursive decompositions are normalized into a single editable graph representation with auditable metrics and exportable structure. Qwen remains the appropriate generative RGBA baseline, while LayerForge-X is most compelling as a graph-aware, benchmarkable, editability-oriented complement to that frontier.</w:t>
      </w:r>
    </w:p>
    <w:bookmarkEnd w:id="157"/>
    <w:bookmarkStart w:id="158" w:name="limitations"/>
    <w:p>
      <w:pPr>
        <w:pStyle w:val="Heading1"/>
      </w:pPr>
      <w:r>
        <w:t xml:space="preserve">8. Limitations</w:t>
      </w:r>
    </w:p>
    <w:p>
      <w:pPr>
        <w:pStyle w:val="FirstParagraph"/>
      </w:pPr>
      <w:r>
        <w:t xml:space="preserve">Failure taxonomy and evaluation details are summarized in Appendix B.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point-only and box-only prompt-routing ambiguity;</w:t>
      </w:r>
    </w:p>
    <w:p>
      <w:pPr>
        <w:pStyle w:val="Compact"/>
        <w:numPr>
          <w:ilvl w:val="0"/>
          <w:numId w:val="1017"/>
        </w:numPr>
      </w:pPr>
      <w:r>
        <w:t xml:space="preserve">transparent-layer recovery that is still approximate rather than generative.</w:t>
      </w:r>
    </w:p>
    <w:bookmarkEnd w:id="158"/>
    <w:bookmarkStart w:id="159" w:name="conclusion"/>
    <w:p>
      <w:pPr>
        <w:pStyle w:val="Heading1"/>
      </w:pPr>
      <w:r>
        <w:t xml:space="preserve">9. Conclusion</w:t>
      </w:r>
    </w:p>
    <w:p>
      <w:pPr>
        <w:pStyle w:val="FirstParagraph"/>
      </w:pPr>
      <w:r>
        <w:t xml:space="preserve">LayerForge-X is best interpreted as a self-evaluating layer-representation system rather than a simple decomposition script. It produces native graph layers, enriches frontier RGBA layers, runs recursive peeling, measures editability, benchmarks prompt extraction, approximates transparent recovery, and exports a canonical DALG manifest. That combination defines the central project contribution.</w:t>
      </w:r>
    </w:p>
    <w:bookmarkEnd w:id="159"/>
    <w:bookmarkStart w:id="160" w:name="references"/>
    <w:p>
      <w:pPr>
        <w:pStyle w:val="Heading1"/>
      </w:pPr>
      <w:r>
        <w:t xml:space="preserve">10. References</w:t>
      </w:r>
    </w:p>
    <w:p>
      <w:pPr>
        <w:pStyle w:val="Compact"/>
        <w:numPr>
          <w:ilvl w:val="0"/>
          <w:numId w:val="1018"/>
        </w:numPr>
      </w:pPr>
      <w:r>
        <w:t xml:space="preserve">Shade, J., Gortler, S. J., He, L.-w., and Szeliski, R.</w:t>
      </w:r>
      <w:r>
        <w:t xml:space="preserve"> </w:t>
      </w:r>
      <w:r>
        <w:t xml:space="preserve">“Layered Depth Images.”</w:t>
      </w:r>
      <w:r>
        <w:t xml:space="preserve"> </w:t>
      </w:r>
      <w:r>
        <w:rPr>
          <w:i/>
          <w:iCs/>
        </w:rPr>
        <w:t xml:space="preserve">Proceedings of SIGGRAPH</w:t>
      </w:r>
      <w:r>
        <w:t xml:space="preserve">, 1998.</w:t>
      </w:r>
    </w:p>
    <w:p>
      <w:pPr>
        <w:pStyle w:val="Compact"/>
        <w:numPr>
          <w:ilvl w:val="0"/>
          <w:numId w:val="1018"/>
        </w:numPr>
      </w:pPr>
      <w:r>
        <w:t xml:space="preserve">Shih, M.-L., Su, S.-Y., Kopf, J., and Huang, J.-B.</w:t>
      </w:r>
      <w:r>
        <w:t xml:space="preserve"> </w:t>
      </w:r>
      <w:r>
        <w:t xml:space="preserve">“3D Photography Using Context-Aware Layered Depth Inpainting.”</w:t>
      </w:r>
      <w:r>
        <w:t xml:space="preserve"> </w:t>
      </w:r>
      <w:r>
        <w:rPr>
          <w:i/>
          <w:iCs/>
        </w:rPr>
        <w:t xml:space="preserve">Proceedings of CVPR</w:t>
      </w:r>
      <w:r>
        <w:t xml:space="preserve">, 2020.</w:t>
      </w:r>
    </w:p>
    <w:p>
      <w:pPr>
        <w:pStyle w:val="Compact"/>
        <w:numPr>
          <w:ilvl w:val="0"/>
          <w:numId w:val="1018"/>
        </w:numPr>
      </w:pPr>
      <w:r>
        <w:t xml:space="preserve">Kirillov, A. et al. </w:t>
      </w:r>
      <w:r>
        <w:t xml:space="preserve">“Panoptic Segmentation.”</w:t>
      </w:r>
      <w:r>
        <w:t xml:space="preserve"> </w:t>
      </w:r>
      <w:r>
        <w:rPr>
          <w:i/>
          <w:iCs/>
        </w:rPr>
        <w:t xml:space="preserve">Proceedings of CVPR</w:t>
      </w:r>
      <w:r>
        <w:t xml:space="preserve">, 2019.</w:t>
      </w:r>
    </w:p>
    <w:p>
      <w:pPr>
        <w:pStyle w:val="Compact"/>
        <w:numPr>
          <w:ilvl w:val="0"/>
          <w:numId w:val="1018"/>
        </w:numPr>
      </w:pPr>
      <w:r>
        <w:t xml:space="preserve">Cheng, B. et al. </w:t>
      </w:r>
      <w:r>
        <w:t xml:space="preserve">“Masked-Attention Mask Transformer for Universal Image Segmentation.”</w:t>
      </w:r>
      <w:r>
        <w:t xml:space="preserve"> </w:t>
      </w:r>
      <w:r>
        <w:rPr>
          <w:i/>
          <w:iCs/>
        </w:rPr>
        <w:t xml:space="preserve">Proceedings of CVPR</w:t>
      </w:r>
      <w:r>
        <w:t xml:space="preserve">, 2022.</w:t>
      </w:r>
    </w:p>
    <w:p>
      <w:pPr>
        <w:pStyle w:val="Compact"/>
        <w:numPr>
          <w:ilvl w:val="0"/>
          <w:numId w:val="1018"/>
        </w:numPr>
      </w:pPr>
      <w:r>
        <w:t xml:space="preserve">Liu, S. et al. </w:t>
      </w:r>
      <w:r>
        <w:t xml:space="preserve">“Grounding DINO: Marrying DINO with Grounded Pre-Training for Open-Set Object Detection.”</w:t>
      </w:r>
      <w:r>
        <w:t xml:space="preserve"> </w:t>
      </w:r>
      <w:r>
        <w:rPr>
          <w:i/>
          <w:iCs/>
        </w:rPr>
        <w:t xml:space="preserve">Proceedings of ECCV</w:t>
      </w:r>
      <w:r>
        <w:t xml:space="preserve">, 2024.</w:t>
      </w:r>
    </w:p>
    <w:p>
      <w:pPr>
        <w:pStyle w:val="Compact"/>
        <w:numPr>
          <w:ilvl w:val="0"/>
          <w:numId w:val="1018"/>
        </w:numPr>
      </w:pPr>
      <w:r>
        <w:t xml:space="preserve">Ravi, N. et al. </w:t>
      </w:r>
      <w:r>
        <w:t xml:space="preserve">“SAM 2: Segment Anything in Images and Videos.”</w:t>
      </w:r>
      <w:r>
        <w:t xml:space="preserve"> </w:t>
      </w:r>
      <w:r>
        <w:t xml:space="preserve">arXiv preprint, 2024.</w:t>
      </w:r>
    </w:p>
    <w:p>
      <w:pPr>
        <w:pStyle w:val="Compact"/>
        <w:numPr>
          <w:ilvl w:val="0"/>
          <w:numId w:val="1018"/>
        </w:numPr>
      </w:pPr>
      <w:r>
        <w:t xml:space="preserve">Xiao, B. et al. </w:t>
      </w:r>
      <w:r>
        <w:t xml:space="preserve">“Florence-2: Advancing a Unified Representation for a Variety of Vision Tasks.”</w:t>
      </w:r>
      <w:r>
        <w:t xml:space="preserve"> </w:t>
      </w:r>
      <w:r>
        <w:rPr>
          <w:i/>
          <w:iCs/>
        </w:rPr>
        <w:t xml:space="preserve">Proceedings of CVPR</w:t>
      </w:r>
      <w:r>
        <w:t xml:space="preserve">, 2024.</w:t>
      </w:r>
    </w:p>
    <w:p>
      <w:pPr>
        <w:pStyle w:val="Compact"/>
        <w:numPr>
          <w:ilvl w:val="0"/>
          <w:numId w:val="1018"/>
        </w:numPr>
      </w:pPr>
      <w:r>
        <w:t xml:space="preserve">Bochkovskiy, A. et al. </w:t>
      </w:r>
      <w:r>
        <w:t xml:space="preserve">“Depth Pro: Sharp Monocular Metric Depth in Less Than a Second.”</w:t>
      </w:r>
      <w:r>
        <w:t xml:space="preserve"> </w:t>
      </w:r>
      <w:r>
        <w:t xml:space="preserve">arXiv preprint, 2024.</w:t>
      </w:r>
    </w:p>
    <w:p>
      <w:pPr>
        <w:pStyle w:val="Compact"/>
        <w:numPr>
          <w:ilvl w:val="0"/>
          <w:numId w:val="1018"/>
        </w:numPr>
      </w:pPr>
      <w:r>
        <w:t xml:space="preserve">Yang, Y. et al. </w:t>
      </w:r>
      <w:r>
        <w:t xml:space="preserve">“Generative Image Layer Decomposition with Visual Effects.”</w:t>
      </w:r>
      <w:r>
        <w:t xml:space="preserve"> </w:t>
      </w:r>
      <w:r>
        <w:rPr>
          <w:i/>
          <w:iCs/>
        </w:rPr>
        <w:t xml:space="preserve">Proceedings of CVPR</w:t>
      </w:r>
      <w:r>
        <w:t xml:space="preserve">, 2025.</w:t>
      </w:r>
    </w:p>
    <w:p>
      <w:pPr>
        <w:pStyle w:val="Compact"/>
        <w:numPr>
          <w:ilvl w:val="0"/>
          <w:numId w:val="1018"/>
        </w:numPr>
      </w:pPr>
      <w:r>
        <w:rPr>
          <w:i/>
          <w:iCs/>
        </w:rPr>
        <w:t xml:space="preserve">DiffDecompose: Layer-Wise Decomposition of Alpha-Composited Images via Diffusion Transformers.</w:t>
      </w:r>
      <w:r>
        <w:t xml:space="preserve"> </w:t>
      </w:r>
      <w:r>
        <w:t xml:space="preserve">arXiv preprint, 2025.</w:t>
      </w:r>
    </w:p>
    <w:p>
      <w:pPr>
        <w:pStyle w:val="Compact"/>
        <w:numPr>
          <w:ilvl w:val="0"/>
          <w:numId w:val="1018"/>
        </w:numPr>
      </w:pPr>
      <w:r>
        <w:rPr>
          <w:i/>
          <w:iCs/>
        </w:rPr>
        <w:t xml:space="preserve">Referring Layer Decomposition.</w:t>
      </w:r>
      <w:r>
        <w:t xml:space="preserve"> </w:t>
      </w:r>
      <w:r>
        <w:t xml:space="preserve">arXiv preprint, 2026.</w:t>
      </w:r>
    </w:p>
    <w:p>
      <w:pPr>
        <w:pStyle w:val="Compact"/>
        <w:numPr>
          <w:ilvl w:val="0"/>
          <w:numId w:val="1018"/>
        </w:numPr>
      </w:pPr>
      <w:r>
        <w:rPr>
          <w:i/>
          <w:iCs/>
        </w:rPr>
        <w:t xml:space="preserve">Qwen-Image-Layered: Towards Inherent Editability via Layer Decomposition.</w:t>
      </w:r>
      <w:r>
        <w:t xml:space="preserve"> </w:t>
      </w:r>
      <w:r>
        <w:t xml:space="preserve">arXiv preprint, 2025.</w:t>
      </w:r>
    </w:p>
    <w:p>
      <w:pPr>
        <w:pStyle w:val="Compact"/>
        <w:numPr>
          <w:ilvl w:val="0"/>
          <w:numId w:val="1018"/>
        </w:numPr>
      </w:pPr>
      <w:r>
        <w:t xml:space="preserve">Yao, J. et al. </w:t>
      </w:r>
      <w:r>
        <w:t xml:space="preserve">“Matte Anything.”</w:t>
      </w:r>
      <w:r>
        <w:t xml:space="preserve"> </w:t>
      </w:r>
      <w:r>
        <w:t xml:space="preserve">arXiv preprint, 2024.</w:t>
      </w:r>
    </w:p>
    <w:p>
      <w:pPr>
        <w:pStyle w:val="Compact"/>
        <w:numPr>
          <w:ilvl w:val="0"/>
          <w:numId w:val="1018"/>
        </w:numPr>
      </w:pPr>
      <w:r>
        <w:t xml:space="preserve">Suvorov, R. et al. </w:t>
      </w:r>
      <w:r>
        <w:t xml:space="preserve">“Resolution-Robust Large Mask Inpainting with Fourier Convolutions.”</w:t>
      </w:r>
      <w:r>
        <w:t xml:space="preserve"> </w:t>
      </w:r>
      <w:r>
        <w:rPr>
          <w:i/>
          <w:iCs/>
        </w:rPr>
        <w:t xml:space="preserve">Proceedings of WACV</w:t>
      </w:r>
      <w:r>
        <w:t xml:space="preserve">, 2022.</w:t>
      </w:r>
    </w:p>
    <w:p>
      <w:pPr>
        <w:pStyle w:val="Compact"/>
        <w:numPr>
          <w:ilvl w:val="0"/>
          <w:numId w:val="1018"/>
        </w:numPr>
      </w:pPr>
      <w:r>
        <w:t xml:space="preserve">Bell, S. et al. </w:t>
      </w:r>
      <w:r>
        <w:t xml:space="preserve">“Intrinsic Images in the Wild.”</w:t>
      </w:r>
      <w:r>
        <w:t xml:space="preserve"> </w:t>
      </w:r>
      <w:r>
        <w:rPr>
          <w:i/>
          <w:iCs/>
        </w:rPr>
        <w:t xml:space="preserve">ACM Transactions on Graphics (SIGGRAPH)</w:t>
      </w:r>
      <w:r>
        <w:t xml:space="preserve">, 2014.</w:t>
      </w:r>
    </w:p>
    <w:p>
      <w:pPr>
        <w:pStyle w:val="Compact"/>
        <w:numPr>
          <w:ilvl w:val="0"/>
          <w:numId w:val="1018"/>
        </w:numPr>
      </w:pPr>
      <w:r>
        <w:t xml:space="preserve">Tai, Y. et al. </w:t>
      </w:r>
      <w:r>
        <w:t xml:space="preserve">“Segment Anything, Even Occluded.”</w:t>
      </w:r>
      <w:r>
        <w:t xml:space="preserve"> </w:t>
      </w:r>
      <w:r>
        <w:t xml:space="preserve">arXiv preprint, 2025.</w:t>
      </w:r>
    </w:p>
    <w:bookmarkEnd w:id="160"/>
    <w:bookmarkStart w:id="172" w:name="appendix-a-artifact-map"/>
    <w:p>
      <w:pPr>
        <w:pStyle w:val="Heading1"/>
      </w:pPr>
      <w:r>
        <w:t xml:space="preserve">Appendix A: Artifact Map</w:t>
      </w:r>
    </w:p>
    <w:p>
      <w:pPr>
        <w:pStyle w:val="FirstParagraph"/>
      </w:pPr>
      <w:r>
        <w:t xml:space="preserve">Canonical reported files:</w:t>
      </w:r>
    </w:p>
    <w:p>
      <w:pPr>
        <w:pStyle w:val="Compact"/>
        <w:numPr>
          <w:ilvl w:val="0"/>
          <w:numId w:val="1019"/>
        </w:numPr>
      </w:pPr>
      <w:hyperlink r:id="rId161">
        <w:r>
          <w:rPr>
            <w:rStyle w:val="Hyperlink"/>
          </w:rPr>
          <w:t xml:space="preserve">../../PROJECT_MANIFEST.json</w:t>
        </w:r>
      </w:hyperlink>
    </w:p>
    <w:p>
      <w:pPr>
        <w:pStyle w:val="Compact"/>
        <w:numPr>
          <w:ilvl w:val="0"/>
          <w:numId w:val="1019"/>
        </w:numPr>
      </w:pPr>
      <w:hyperlink r:id="rId162">
        <w:r>
          <w:rPr>
            <w:rStyle w:val="Hyperlink"/>
          </w:rPr>
          <w:t xml:space="preserve">../../report_artifacts/README.md</w:t>
        </w:r>
      </w:hyperlink>
    </w:p>
    <w:p>
      <w:pPr>
        <w:pStyle w:val="Compact"/>
        <w:numPr>
          <w:ilvl w:val="0"/>
          <w:numId w:val="1019"/>
        </w:numPr>
      </w:pPr>
      <w:hyperlink r:id="rId163">
        <w:r>
          <w:rPr>
            <w:rStyle w:val="Hyperlink"/>
          </w:rPr>
          <w:t xml:space="preserve">../../report_artifacts/metrics_snapshots/</w:t>
        </w:r>
      </w:hyperlink>
    </w:p>
    <w:p>
      <w:pPr>
        <w:pStyle w:val="Compact"/>
        <w:numPr>
          <w:ilvl w:val="0"/>
          <w:numId w:val="1019"/>
        </w:numPr>
      </w:pPr>
      <w:hyperlink r:id="rId164">
        <w:r>
          <w:rPr>
            <w:rStyle w:val="Hyperlink"/>
          </w:rPr>
          <w:t xml:space="preserve">../../report_artifacts/figure_sources/figure_manifest.json</w:t>
        </w:r>
      </w:hyperlink>
    </w:p>
    <w:p>
      <w:pPr>
        <w:pStyle w:val="Compact"/>
        <w:numPr>
          <w:ilvl w:val="0"/>
          <w:numId w:val="1019"/>
        </w:numPr>
      </w:pPr>
      <w:hyperlink r:id="rId165">
        <w:r>
          <w:rPr>
            <w:rStyle w:val="Hyperlink"/>
          </w:rPr>
          <w:t xml:space="preserve">../../report_artifacts/command_log.md</w:t>
        </w:r>
      </w:hyperlink>
    </w:p>
    <w:p>
      <w:pPr>
        <w:pStyle w:val="Compact"/>
        <w:numPr>
          <w:ilvl w:val="0"/>
          <w:numId w:val="1019"/>
        </w:numPr>
      </w:pPr>
      <w:hyperlink r:id="rId166">
        <w:r>
          <w:rPr>
            <w:rStyle w:val="Hyperlink"/>
          </w:rPr>
          <w:t xml:space="preserve">../RESULTS_SUMMARY_CURRENT.md</w:t>
        </w:r>
      </w:hyperlink>
    </w:p>
    <w:p>
      <w:pPr>
        <w:pStyle w:val="Compact"/>
        <w:numPr>
          <w:ilvl w:val="0"/>
          <w:numId w:val="1019"/>
        </w:numPr>
      </w:pPr>
      <w:hyperlink r:id="rId167">
        <w:r>
          <w:rPr>
            <w:rStyle w:val="Hyperlink"/>
          </w:rPr>
          <w:t xml:space="preserve">../QWEN_IMAGE_LAYERED_COMPARISON.md</w:t>
        </w:r>
      </w:hyperlink>
    </w:p>
    <w:p>
      <w:pPr>
        <w:pStyle w:val="Compact"/>
        <w:numPr>
          <w:ilvl w:val="0"/>
          <w:numId w:val="1019"/>
        </w:numPr>
      </w:pPr>
      <w:hyperlink r:id="rId168">
        <w:r>
          <w:rPr>
            <w:rStyle w:val="Hyperlink"/>
          </w:rPr>
          <w:t xml:space="preserve">../REPORT_TABLES.md</w:t>
        </w:r>
      </w:hyperlink>
    </w:p>
    <w:p>
      <w:pPr>
        <w:pStyle w:val="Compact"/>
        <w:numPr>
          <w:ilvl w:val="0"/>
          <w:numId w:val="1019"/>
        </w:numPr>
      </w:pPr>
      <w:hyperlink r:id="rId169">
        <w:r>
          <w:rPr>
            <w:rStyle w:val="Hyperlink"/>
          </w:rPr>
          <w:t xml:space="preserve">../FIGURES.md</w:t>
        </w:r>
      </w:hyperlink>
    </w:p>
    <w:p>
      <w:pPr>
        <w:pStyle w:val="Compact"/>
        <w:numPr>
          <w:ilvl w:val="0"/>
          <w:numId w:val="1019"/>
        </w:numPr>
      </w:pPr>
      <w:hyperlink r:id="rId170">
        <w:r>
          <w:rPr>
            <w:rStyle w:val="Hyperlink"/>
          </w:rPr>
          <w:t xml:space="preserve">../PRODUCT_ARCHITECTURE_AND_LAUNCH.md</w:t>
        </w:r>
      </w:hyperlink>
    </w:p>
    <w:p>
      <w:pPr>
        <w:pStyle w:val="Compact"/>
        <w:numPr>
          <w:ilvl w:val="0"/>
          <w:numId w:val="1019"/>
        </w:numPr>
      </w:pPr>
      <w:hyperlink r:id="rId171">
        <w:r>
          <w:rPr>
            <w:rStyle w:val="Hyperlink"/>
          </w:rPr>
          <w:t xml:space="preserve">../api/openapi.yaml</w:t>
        </w:r>
      </w:hyperlink>
    </w:p>
    <w:bookmarkEnd w:id="172"/>
    <w:bookmarkStart w:id="188" w:name="appendix-b-extended-tables-and-ablations"/>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173" w:name="b.1-completed-runs-snapshot"/>
    <w:p>
      <w:pPr>
        <w:pStyle w:val="Heading2"/>
      </w:pPr>
      <w:r>
        <w:t xml:space="preserve">B.1 Completed runs snapshot</w:t>
      </w:r>
    </w:p>
    <w:p>
      <w:pPr>
        <w:pStyle w:val="FirstParagraph"/>
      </w:pPr>
      <w:r>
        <w:t xml:space="preserve">The rows below report measured runs. All three use the deterministic classical segmenter with geometric-luminance depth; the changing factor is the ordering rule and the held-out split.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Split</w:t>
            </w:r>
          </w:p>
        </w:tc>
        <w:tc>
          <w:tcPr/>
          <w:p>
            <w:pPr>
              <w:pStyle w:val="Compact"/>
            </w:pPr>
            <w:r>
              <w:t xml:space="preserve">Ordering</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synthetic fast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synth test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synth test</w:t>
            </w:r>
          </w:p>
        </w:tc>
        <w:tc>
          <w:tcPr/>
          <w:p>
            <w:pPr>
              <w:pStyle w:val="Compact"/>
            </w:pPr>
            <w:r>
              <w:t xml:space="preserve">learned ranker</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most credible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173"/>
    <w:bookmarkStart w:id="174" w:name="b.2-frontier-candidate-bank-review"/>
    <w:p>
      <w:pPr>
        <w:pStyle w:val="Heading2"/>
      </w:pPr>
      <w:r>
        <w:t xml:space="preserve">B.2 Frontier candidate-bank review</w:t>
      </w:r>
    </w:p>
    <w:p>
      <w:pPr>
        <w:pStyle w:val="FirstParagraph"/>
      </w:pPr>
      <w:r>
        <w:t xml:space="preserve">The five-image frontier comparison was measured locally, and the public repository ships the copied summary in</w:t>
      </w:r>
      <w:r>
        <w:t xml:space="preserve"> </w:t>
      </w:r>
      <w:r>
        <w:rPr>
          <w:rStyle w:val="VerbatimChar"/>
        </w:rPr>
        <w:t xml:space="preserve">report_artifacts/metrics_snapshots/frontier_review_summary.json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0.6981</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0.5314</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0.2824</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0.5843</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0.5834</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highest-scoring candidate-bank row under the explicit self-evaluation score and wins</w:t>
      </w:r>
      <w:r>
        <w:t xml:space="preserve"> </w:t>
      </w:r>
      <w:r>
        <w:rPr>
          <w:rStyle w:val="VerbatimChar"/>
        </w:rPr>
        <w:t xml:space="preserve">4/5</w:t>
      </w:r>
      <w:r>
        <w:t xml:space="preserve"> </w:t>
      </w:r>
      <w:r>
        <w:t xml:space="preserve">measured images once editability penalties against copy-like decompositions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174"/>
    <w:bookmarkStart w:id="175"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p>
      <w:pPr>
        <w:pStyle w:val="BodyText"/>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 ↑</w:t>
            </w:r>
          </w:p>
        </w:tc>
        <w:tc>
          <w:tcPr/>
          <w:p>
            <w:pPr>
              <w:pStyle w:val="Compact"/>
              <w:jc w:val="right"/>
            </w:pPr>
            <w:r>
              <w:t xml:space="preserve">Move ↑</w:t>
            </w:r>
          </w:p>
        </w:tc>
        <w:tc>
          <w:tcPr/>
          <w:p>
            <w:pPr>
              <w:pStyle w:val="Compact"/>
              <w:jc w:val="right"/>
            </w:pPr>
            <w:r>
              <w:t xml:space="preserve">Recolor ↑</w:t>
            </w:r>
          </w:p>
        </w:tc>
        <w:tc>
          <w:tcPr/>
          <w:p>
            <w:pPr>
              <w:pStyle w:val="Compact"/>
              <w:jc w:val="right"/>
            </w:pPr>
            <w:r>
              <w:t xml:space="preserve">Edit success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 ↑</w:t>
            </w:r>
          </w:p>
        </w:tc>
        <w:tc>
          <w:tcPr/>
          <w:p>
            <w:pPr>
              <w:pStyle w:val="Compact"/>
              <w:jc w:val="right"/>
            </w:pPr>
            <w:r>
              <w:t xml:space="preserve">Hole ratio ↓</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prevents the frontier selector from favoring copy-like decompositions;</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175"/>
    <w:bookmarkStart w:id="176" w:name="b.3a-qwen-layer-count-sweep"/>
    <w:p>
      <w:pPr>
        <w:pStyle w:val="Heading2"/>
      </w:pPr>
      <w:r>
        <w:t xml:space="preserve">B.3a Qwen layer-count sweep</w:t>
      </w:r>
    </w:p>
    <w:p>
      <w:pPr>
        <w:pStyle w:val="FirstParagraph"/>
      </w:pPr>
      <w:r>
        <w:t xml:space="preserve">The repository also includes a measured five-image</w:t>
      </w:r>
      <w:r>
        <w:t xml:space="preserve"> </w:t>
      </w:r>
      <w:r>
        <w:rPr>
          <w:rStyle w:val="VerbatimChar"/>
        </w:rPr>
        <w:t xml:space="preserve">3/4/6/8</w:t>
      </w:r>
      <w:r>
        <w:t xml:space="preserve"> </w:t>
      </w:r>
      <w:r>
        <w:t xml:space="preserve">sweep for the Qwen family. This experiment keeps the same five images while varying the requested Qwen layer 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r>
      <w:tr>
        <w:tc>
          <w:tcPr/>
          <w:p>
            <w:pPr>
              <w:pStyle w:val="Compact"/>
            </w:pPr>
            <w:r>
              <w:t xml:space="preserve">Q raw3</w:t>
            </w:r>
          </w:p>
        </w:tc>
        <w:tc>
          <w:tcPr/>
          <w:p>
            <w:pPr>
              <w:pStyle w:val="Compact"/>
              <w:jc w:val="right"/>
            </w:pPr>
            <w:r>
              <w:t xml:space="preserve">29.7574</w:t>
            </w:r>
          </w:p>
        </w:tc>
        <w:tc>
          <w:tcPr/>
          <w:p>
            <w:pPr>
              <w:pStyle w:val="Compact"/>
              <w:jc w:val="right"/>
            </w:pPr>
            <w:r>
              <w:t xml:space="preserve">0.8874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 raw6</w:t>
            </w:r>
          </w:p>
        </w:tc>
        <w:tc>
          <w:tcPr/>
          <w:p>
            <w:pPr>
              <w:pStyle w:val="Compact"/>
              <w:jc w:val="right"/>
            </w:pPr>
            <w:r>
              <w:t xml:space="preserve">29.1079</w:t>
            </w:r>
          </w:p>
        </w:tc>
        <w:tc>
          <w:tcPr/>
          <w:p>
            <w:pPr>
              <w:pStyle w:val="Compact"/>
              <w:jc w:val="right"/>
            </w:pPr>
            <w:r>
              <w:t xml:space="preserve">0.8800</w:t>
            </w:r>
          </w:p>
        </w:tc>
      </w:tr>
      <w:tr>
        <w:tc>
          <w:tcPr/>
          <w:p>
            <w:pPr>
              <w:pStyle w:val="Compact"/>
            </w:pPr>
            <w:r>
              <w:t xml:space="preserve">Q raw8</w:t>
            </w:r>
          </w:p>
        </w:tc>
        <w:tc>
          <w:tcPr/>
          <w:p>
            <w:pPr>
              <w:pStyle w:val="Compact"/>
              <w:jc w:val="right"/>
            </w:pPr>
            <w:r>
              <w:t xml:space="preserve">27.1419</w:t>
            </w:r>
          </w:p>
        </w:tc>
        <w:tc>
          <w:tcPr/>
          <w:p>
            <w:pPr>
              <w:pStyle w:val="Compact"/>
              <w:jc w:val="right"/>
            </w:pPr>
            <w:r>
              <w:t xml:space="preserve">0.8663</w:t>
            </w:r>
          </w:p>
        </w:tc>
      </w:tr>
      <w:tr>
        <w:tc>
          <w:tcPr/>
          <w:p>
            <w:pPr>
              <w:pStyle w:val="Compact"/>
            </w:pPr>
            <w:r>
              <w:t xml:space="preserve">Q+G-P3</w:t>
            </w:r>
          </w:p>
        </w:tc>
        <w:tc>
          <w:tcPr/>
          <w:p>
            <w:pPr>
              <w:pStyle w:val="Compact"/>
              <w:jc w:val="right"/>
            </w:pPr>
            <w:r>
              <w:t xml:space="preserve">29.2311</w:t>
            </w:r>
          </w:p>
        </w:tc>
        <w:tc>
          <w:tcPr/>
          <w:p>
            <w:pPr>
              <w:pStyle w:val="Compact"/>
              <w:jc w:val="right"/>
            </w:pPr>
            <w:r>
              <w:t xml:space="preserve">0.8663</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Q+G-P6</w:t>
            </w:r>
          </w:p>
        </w:tc>
        <w:tc>
          <w:tcPr/>
          <w:p>
            <w:pPr>
              <w:pStyle w:val="Compact"/>
              <w:jc w:val="right"/>
            </w:pPr>
            <w:r>
              <w:t xml:space="preserve">28.6464</w:t>
            </w:r>
          </w:p>
        </w:tc>
        <w:tc>
          <w:tcPr/>
          <w:p>
            <w:pPr>
              <w:pStyle w:val="Compact"/>
              <w:jc w:val="right"/>
            </w:pPr>
            <w:r>
              <w:t xml:space="preserve">0.8588</w:t>
            </w:r>
          </w:p>
        </w:tc>
      </w:tr>
      <w:tr>
        <w:tc>
          <w:tcPr/>
          <w:p>
            <w:pPr>
              <w:pStyle w:val="Compact"/>
            </w:pPr>
            <w:r>
              <w:t xml:space="preserve">Q+G-P8</w:t>
            </w:r>
          </w:p>
        </w:tc>
        <w:tc>
          <w:tcPr/>
          <w:p>
            <w:pPr>
              <w:pStyle w:val="Compact"/>
              <w:jc w:val="right"/>
            </w:pPr>
            <w:r>
              <w:t xml:space="preserve">26.7452</w:t>
            </w:r>
          </w:p>
        </w:tc>
        <w:tc>
          <w:tcPr/>
          <w:p>
            <w:pPr>
              <w:pStyle w:val="Compact"/>
              <w:jc w:val="right"/>
            </w:pPr>
            <w:r>
              <w:t xml:space="preserve">0.8444</w:t>
            </w:r>
          </w:p>
        </w:tc>
      </w:tr>
      <w:tr>
        <w:tc>
          <w:tcPr/>
          <w:p>
            <w:pPr>
              <w:pStyle w:val="Compact"/>
            </w:pPr>
            <w:r>
              <w:t xml:space="preserve">Q+G-R3</w:t>
            </w:r>
          </w:p>
        </w:tc>
        <w:tc>
          <w:tcPr/>
          <w:p>
            <w:pPr>
              <w:pStyle w:val="Compact"/>
              <w:jc w:val="right"/>
            </w:pPr>
            <w:r>
              <w:t xml:space="preserve">29.2263</w:t>
            </w:r>
          </w:p>
        </w:tc>
        <w:tc>
          <w:tcPr/>
          <w:p>
            <w:pPr>
              <w:pStyle w:val="Compact"/>
              <w:jc w:val="right"/>
            </w:pPr>
            <w:r>
              <w:t xml:space="preserve">0.8663</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r>
        <w:tc>
          <w:tcPr/>
          <w:p>
            <w:pPr>
              <w:pStyle w:val="Compact"/>
            </w:pPr>
            <w:r>
              <w:t xml:space="preserve">Q+G-R6</w:t>
            </w:r>
          </w:p>
        </w:tc>
        <w:tc>
          <w:tcPr/>
          <w:p>
            <w:pPr>
              <w:pStyle w:val="Compact"/>
              <w:jc w:val="right"/>
            </w:pPr>
            <w:r>
              <w:t xml:space="preserve">21.4064</w:t>
            </w:r>
          </w:p>
        </w:tc>
        <w:tc>
          <w:tcPr/>
          <w:p>
            <w:pPr>
              <w:pStyle w:val="Compact"/>
              <w:jc w:val="right"/>
            </w:pPr>
            <w:r>
              <w:t xml:space="preserve">0.8133</w:t>
            </w:r>
          </w:p>
        </w:tc>
      </w:tr>
      <w:tr>
        <w:tc>
          <w:tcPr/>
          <w:p>
            <w:pPr>
              <w:pStyle w:val="Compact"/>
            </w:pPr>
            <w:r>
              <w:t xml:space="preserve">Q+G-R8</w:t>
            </w:r>
          </w:p>
        </w:tc>
        <w:tc>
          <w:tcPr/>
          <w:p>
            <w:pPr>
              <w:pStyle w:val="Compact"/>
              <w:jc w:val="right"/>
            </w:pPr>
            <w:r>
              <w:t xml:space="preserve">18.4597</w:t>
            </w:r>
          </w:p>
        </w:tc>
        <w:tc>
          <w:tcPr/>
          <w:p>
            <w:pPr>
              <w:pStyle w:val="Compact"/>
              <w:jc w:val="right"/>
            </w:pPr>
            <w:r>
              <w:t xml:space="preserve">0.7827</w:t>
            </w:r>
          </w:p>
        </w:tc>
      </w:tr>
    </w:tbl>
    <w:p>
      <w:pPr>
        <w:pStyle w:val="BodyText"/>
      </w:pPr>
      <w:r>
        <w:t xml:space="preserve">Interpretation:</w:t>
      </w:r>
    </w:p>
    <w:p>
      <w:pPr>
        <w:pStyle w:val="Compact"/>
        <w:numPr>
          <w:ilvl w:val="0"/>
          <w:numId w:val="1023"/>
        </w:numPr>
      </w:pPr>
      <w:r>
        <w:rPr>
          <w:rStyle w:val="VerbatimChar"/>
        </w:rPr>
        <w:t xml:space="preserve">Qwen raw (3)</w:t>
      </w:r>
      <w:r>
        <w:t xml:space="preserve"> </w:t>
      </w:r>
      <w:r>
        <w:t xml:space="preserve">is the strongest compact pure-fidelity setting on the measured five-image bank, with</w:t>
      </w:r>
      <w:r>
        <w:t xml:space="preserve"> </w:t>
      </w:r>
      <w:r>
        <w:rPr>
          <w:rStyle w:val="VerbatimChar"/>
        </w:rPr>
        <w:t xml:space="preserve">Qwen raw (6)</w:t>
      </w:r>
      <w:r>
        <w:t xml:space="preserve"> </w:t>
      </w:r>
      <w:r>
        <w:t xml:space="preserve">close behind;</w:t>
      </w:r>
    </w:p>
    <w:p>
      <w:pPr>
        <w:pStyle w:val="Compact"/>
        <w:numPr>
          <w:ilvl w:val="0"/>
          <w:numId w:val="1023"/>
        </w:numPr>
      </w:pPr>
      <w:r>
        <w:t xml:space="preserve">preserve-style hybrid enrichment remains relatively stable through</w:t>
      </w:r>
      <w:r>
        <w:t xml:space="preserve"> </w:t>
      </w:r>
      <w:r>
        <w:rPr>
          <w:rStyle w:val="VerbatimChar"/>
        </w:rPr>
        <w:t xml:space="preserve">3/4/6</w:t>
      </w:r>
      <w:r>
        <w:t xml:space="preserve"> </w:t>
      </w:r>
      <w:r>
        <w:t xml:space="preserve">layers, although it still trails raw Qwen on recomposition fidelity;</w:t>
      </w:r>
    </w:p>
    <w:p>
      <w:pPr>
        <w:pStyle w:val="Compact"/>
        <w:numPr>
          <w:ilvl w:val="0"/>
          <w:numId w:val="1023"/>
        </w:numPr>
      </w:pPr>
      <w:r>
        <w:t xml:space="preserve">graph reorder is acceptable at</w:t>
      </w:r>
      <w:r>
        <w:t xml:space="preserve"> </w:t>
      </w:r>
      <w:r>
        <w:rPr>
          <w:rStyle w:val="VerbatimChar"/>
        </w:rPr>
        <w:t xml:space="preserve">3/4</w:t>
      </w:r>
      <w:r>
        <w:t xml:space="preserve"> </w:t>
      </w:r>
      <w:r>
        <w:t xml:space="preserve">layers but degrades sharply at</w:t>
      </w:r>
      <w:r>
        <w:t xml:space="preserve"> </w:t>
      </w:r>
      <w:r>
        <w:rPr>
          <w:rStyle w:val="VerbatimChar"/>
        </w:rPr>
        <w:t xml:space="preserve">6/8</w:t>
      </w:r>
      <w:r>
        <w:t xml:space="preserve">, so the current evidence supports preserve-style hybrid enrichment as the safer exported default.</w:t>
      </w:r>
    </w:p>
    <w:bookmarkEnd w:id="176"/>
    <w:bookmarkStart w:id="177"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p>
      <w:pPr>
        <w:pStyle w:val="BodyText"/>
      </w:pPr>
      <w:r>
        <w:t xml:space="preserve">Interpretation:</w:t>
      </w:r>
    </w:p>
    <w:p>
      <w:pPr>
        <w:pStyle w:val="Compact"/>
        <w:numPr>
          <w:ilvl w:val="0"/>
          <w:numId w:val="1024"/>
        </w:numPr>
      </w:pPr>
      <w:r>
        <w:t xml:space="preserve">text-bearing prompts identify the intended semantic target on the measured synthetic set;</w:t>
      </w:r>
    </w:p>
    <w:p>
      <w:pPr>
        <w:pStyle w:val="Compact"/>
        <w:numPr>
          <w:ilvl w:val="0"/>
          <w:numId w:val="1024"/>
        </w:numPr>
      </w:pPr>
      <w:r>
        <w:t xml:space="preserve">point-only and box-only prompts still achieve high overlap while missing the semantic target;</w:t>
      </w:r>
    </w:p>
    <w:p>
      <w:pPr>
        <w:pStyle w:val="Compact"/>
        <w:numPr>
          <w:ilvl w:val="0"/>
          <w:numId w:val="1024"/>
        </w:numPr>
      </w:pPr>
      <w:r>
        <w:t xml:space="preserve">the present bottleneck is semantic routing rather than matte stability.</w:t>
      </w:r>
    </w:p>
    <w:bookmarkEnd w:id="177"/>
    <w:bookmarkStart w:id="178"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5"/>
        </w:numPr>
      </w:pPr>
      <w:r>
        <w:t xml:space="preserve">transparent recomposition is a sanity check; alpha error and clean-background quality are the primary transparent metrics;</w:t>
      </w:r>
    </w:p>
    <w:p>
      <w:pPr>
        <w:pStyle w:val="Compact"/>
        <w:numPr>
          <w:ilvl w:val="0"/>
          <w:numId w:val="1025"/>
        </w:numPr>
      </w:pPr>
      <w:r>
        <w:t xml:space="preserve">the current path is best interpreted as approximate transparent-layer recovery rather than as a generative transparent-decomposition result;</w:t>
      </w:r>
    </w:p>
    <w:p>
      <w:pPr>
        <w:pStyle w:val="Compact"/>
        <w:numPr>
          <w:ilvl w:val="0"/>
          <w:numId w:val="1025"/>
        </w:numPr>
      </w:pPr>
      <w:r>
        <w:t xml:space="preserve">the prototype is strongest on flare-like overlays and weakest on the semi-transparent panel variant.</w:t>
      </w:r>
    </w:p>
    <w:bookmarkEnd w:id="178"/>
    <w:bookmarkStart w:id="181" w:name="b.6-main-ablation-matrix"/>
    <w:p>
      <w:pPr>
        <w:pStyle w:val="Heading2"/>
      </w:pPr>
      <w:r>
        <w:t xml:space="preserve">B.6 Main ablation matrix</w:t>
      </w:r>
    </w:p>
    <w:bookmarkStart w:id="179" w:name="b.6.1-core-ladder"/>
    <w:p>
      <w:pPr>
        <w:pStyle w:val="Heading3"/>
      </w:pPr>
      <w:r>
        <w:t xml:space="preserve">B.6.1 Core ladder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Key additions</w:t>
            </w:r>
          </w:p>
        </w:tc>
        <w:tc>
          <w:tcPr/>
          <w:p>
            <w:pPr>
              <w:pStyle w:val="Compact"/>
            </w:pPr>
            <w:r>
              <w:t xml:space="preserve">Purpose</w:t>
            </w:r>
          </w:p>
        </w:tc>
      </w:tr>
      <w:tr>
        <w:tc>
          <w:tcPr/>
          <w:p>
            <w:pPr>
              <w:pStyle w:val="Compact"/>
            </w:pPr>
            <w:r>
              <w:t xml:space="preserve">A</w:t>
            </w:r>
          </w:p>
        </w:tc>
        <w:tc>
          <w:tcPr/>
          <w:p>
            <w:pPr>
              <w:pStyle w:val="Compact"/>
            </w:pPr>
            <w:r>
              <w:t xml:space="preserve">classical</w:t>
            </w:r>
          </w:p>
        </w:tc>
        <w:tc>
          <w:tcPr/>
          <w:p>
            <w:pPr>
              <w:pStyle w:val="Compact"/>
            </w:pPr>
            <w:r>
              <w:t xml:space="preserve">luminance</w:t>
            </w:r>
          </w:p>
        </w:tc>
        <w:tc>
          <w:tcPr/>
          <w:p>
            <w:pPr>
              <w:pStyle w:val="Compact"/>
            </w:pPr>
            <w:r>
              <w:t xml:space="preserve">global median</w:t>
            </w:r>
          </w:p>
        </w:tc>
        <w:tc>
          <w:tcPr/>
          <w:p>
            <w:pPr>
              <w:pStyle w:val="Compact"/>
            </w:pPr>
            <w:r>
              <w:t xml:space="preserve">hard alpha only</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 heuristic</w:t>
            </w:r>
          </w:p>
        </w:tc>
        <w:tc>
          <w:tcPr/>
          <w:p>
            <w:pPr>
              <w:pStyle w:val="Compact"/>
            </w:pPr>
            <w:r>
              <w:t xml:space="preserve">semantic masks</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depth cue</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local ordering graph</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promptable masks + soft alpha</w:t>
            </w:r>
          </w:p>
        </w:tc>
        <w:tc>
          <w:tcPr/>
          <w:p>
            <w:pPr>
              <w:pStyle w:val="Compact"/>
            </w:pPr>
            <w:r>
              <w:t xml:space="preserve">promptable decomposition</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heuristic amodal + OpenCV completion</w:t>
            </w:r>
          </w:p>
        </w:tc>
        <w:tc>
          <w:tcPr/>
          <w:p>
            <w:pPr>
              <w:pStyle w:val="Compact"/>
            </w:pPr>
            <w:r>
              <w:t xml:space="preserve">amodal plus completion</w:t>
            </w:r>
          </w:p>
        </w:tc>
      </w:tr>
    </w:tbl>
    <w:bookmarkEnd w:id="179"/>
    <w:bookmarkStart w:id="180" w:name="b.6.2-full-system-extensions"/>
    <w:p>
      <w:pPr>
        <w:pStyle w:val="Heading3"/>
      </w:pPr>
      <w:r>
        <w:t xml:space="preserve">B.6.2 Full-system extensions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Backbone</w:t>
            </w:r>
          </w:p>
        </w:tc>
        <w:tc>
          <w:tcPr/>
          <w:p>
            <w:pPr>
              <w:pStyle w:val="Compact"/>
            </w:pPr>
            <w:r>
              <w:t xml:space="preserve">Ordering</w:t>
            </w:r>
          </w:p>
        </w:tc>
        <w:tc>
          <w:tcPr/>
          <w:p>
            <w:pPr>
              <w:pStyle w:val="Compact"/>
            </w:pPr>
            <w:r>
              <w:t xml:space="preserve">Completion</w:t>
            </w:r>
          </w:p>
        </w:tc>
        <w:tc>
          <w:tcPr/>
          <w:p>
            <w:pPr>
              <w:pStyle w:val="Compact"/>
            </w:pPr>
            <w:r>
              <w:t xml:space="preserve">Intrinsics</w:t>
            </w:r>
          </w:p>
        </w:tc>
        <w:tc>
          <w:tcPr/>
          <w:p>
            <w:pPr>
              <w:pStyle w:val="Compact"/>
            </w:pPr>
            <w:r>
              <w:t xml:space="preserve">Purpose</w:t>
            </w:r>
          </w:p>
        </w:tc>
      </w:tr>
      <w:tr>
        <w:tc>
          <w:tcPr/>
          <w:p>
            <w:pPr>
              <w:pStyle w:val="Compact"/>
            </w:pPr>
            <w:r>
              <w:t xml:space="preserve">G</w:t>
            </w:r>
          </w:p>
        </w:tc>
        <w:tc>
          <w:tcPr/>
          <w:p>
            <w:pPr>
              <w:pStyle w:val="Compact"/>
            </w:pPr>
            <w:r>
              <w:t xml:space="preserve">Grounded-SAM2 + ensemble depth</w:t>
            </w:r>
          </w:p>
        </w:tc>
        <w:tc>
          <w:tcPr/>
          <w:p>
            <w:pPr>
              <w:pStyle w:val="Compact"/>
            </w:pPr>
            <w:r>
              <w:t xml:space="preserve">learned edge ranker</w:t>
            </w:r>
          </w:p>
        </w:tc>
        <w:tc>
          <w:tcPr/>
          <w:p>
            <w:pPr>
              <w:pStyle w:val="Compact"/>
            </w:pPr>
            <w:r>
              <w:t xml:space="preserve">LaMa</w:t>
            </w:r>
          </w:p>
        </w:tc>
        <w:tc>
          <w:tcPr/>
          <w:p>
            <w:pPr>
              <w:pStyle w:val="Compact"/>
            </w:pPr>
            <w:r>
              <w:t xml:space="preserve">no</w:t>
            </w:r>
          </w:p>
        </w:tc>
        <w:tc>
          <w:tcPr/>
          <w:p>
            <w:pPr>
              <w:pStyle w:val="Compact"/>
            </w:pPr>
            <w:r>
              <w:t xml:space="preserve">strongest non-intrinsic native system</w:t>
            </w:r>
          </w:p>
        </w:tc>
      </w:tr>
      <w:tr>
        <w:tc>
          <w:tcPr/>
          <w:p>
            <w:pPr>
              <w:pStyle w:val="Compact"/>
            </w:pPr>
            <w:r>
              <w:t xml:space="preserve">H</w:t>
            </w:r>
          </w:p>
        </w:tc>
        <w:tc>
          <w:tcPr/>
          <w:p>
            <w:pPr>
              <w:pStyle w:val="Compact"/>
            </w:pPr>
            <w:r>
              <w:t xml:space="preserve">full native stack</w:t>
            </w:r>
          </w:p>
        </w:tc>
        <w:tc>
          <w:tcPr/>
          <w:p>
            <w:pPr>
              <w:pStyle w:val="Compact"/>
            </w:pPr>
            <w:r>
              <w:t xml:space="preserve">learned edge ranker</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native stack + peel</w:t>
            </w:r>
          </w:p>
        </w:tc>
        <w:tc>
          <w:tcPr/>
          <w:p>
            <w:pPr>
              <w:pStyle w:val="Compact"/>
            </w:pPr>
            <w:r>
              <w:t xml:space="preserve">graph-guided peeling</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180"/>
    <w:bookmarkEnd w:id="181"/>
    <w:bookmarkStart w:id="184" w:name="b.7-literature-comparison"/>
    <w:p>
      <w:pPr>
        <w:pStyle w:val="Heading2"/>
      </w:pPr>
      <w:r>
        <w:t xml:space="preserve">B.7 Literature comparison</w:t>
      </w:r>
    </w:p>
    <w:bookmarkStart w:id="182" w:name="b.7.1-representation-oriented-baselines"/>
    <w:p>
      <w:pPr>
        <w:pStyle w:val="Heading3"/>
      </w:pPr>
      <w:r>
        <w:t xml:space="preserve">B.7.1 Representation-oriented baselines</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Explicit ordering</w:t>
            </w:r>
          </w:p>
        </w:tc>
        <w:tc>
          <w:tcPr/>
          <w:p>
            <w:pPr>
              <w:pStyle w:val="Compact"/>
              <w:jc w:val="right"/>
            </w:pPr>
            <w:r>
              <w:t xml:space="preserve">Hidden support</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yes</w:t>
            </w:r>
          </w:p>
        </w:tc>
        <w:tc>
          <w:tcPr/>
          <w:p>
            <w:pPr>
              <w:pStyle w:val="Compact"/>
            </w:pPr>
            <w:r>
              <w:t xml:space="preserve">parallax-oriented RGB-D editing</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promptable visible masks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pPr>
            <w:r>
              <w:t xml:space="preserve">hidden shape without full editable stack</w:t>
            </w:r>
          </w:p>
        </w:tc>
      </w:tr>
    </w:tbl>
    <w:bookmarkEnd w:id="182"/>
    <w:bookmarkStart w:id="183" w:name="b.7.2-layered-editing-baselines"/>
    <w:p>
      <w:pPr>
        <w:pStyle w:val="Heading3"/>
      </w:pPr>
      <w:r>
        <w:t xml:space="preserve">B.7.2 Layered editing baselines</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 family</w:t>
            </w:r>
          </w:p>
        </w:tc>
        <w:tc>
          <w:tcPr/>
          <w:p>
            <w:pPr>
              <w:pStyle w:val="Compact"/>
              <w:jc w:val="right"/>
            </w:pPr>
            <w:r>
              <w:t xml:space="preserve">Soft alpha</w:t>
            </w:r>
          </w:p>
        </w:tc>
        <w:tc>
          <w:tcPr/>
          <w:p>
            <w:pPr>
              <w:pStyle w:val="Compact"/>
              <w:jc w:val="right"/>
            </w:pPr>
            <w:r>
              <w:t xml:space="preserve">Completion</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Matting</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 no scene graph</w:t>
            </w:r>
          </w:p>
        </w:tc>
      </w:tr>
      <w:tr>
        <w:tc>
          <w:tcPr/>
          <w:p>
            <w:pPr>
              <w:pStyle w:val="Compact"/>
            </w:pPr>
            <w:r>
              <w:t xml:space="preserve">LayerDecomp-style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 graph representation</w:t>
            </w:r>
          </w:p>
        </w:tc>
      </w:tr>
    </w:tbl>
    <w:bookmarkEnd w:id="183"/>
    <w:bookmarkEnd w:id="184"/>
    <w:bookmarkStart w:id="185"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185"/>
    <w:bookmarkStart w:id="186"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186"/>
    <w:bookmarkStart w:id="187" w:name="b.10-intrinsic-export-snapshot"/>
    <w:p>
      <w:pPr>
        <w:pStyle w:val="Heading2"/>
      </w:pPr>
      <w:r>
        <w:t xml:space="preserve">B.10 Intrinsic export snapshot</w:t>
      </w:r>
    </w:p>
    <w:p>
      <w:pPr>
        <w:pStyle w:val="FirstParagraph"/>
      </w:pPr>
      <w:r>
        <w:t xml:space="preserve">The optional intrinsic path is implemented as an approximate appearance-factor export rather than as a standalone intrinsic-image benchmark. The measured truck winner currently provides both global and per-layer albedo/shading artifacts.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Run</w:t>
            </w:r>
          </w:p>
        </w:tc>
        <w:tc>
          <w:tcPr/>
          <w:p>
            <w:pPr>
              <w:pStyle w:val="Compact"/>
            </w:pPr>
            <w:r>
              <w:t xml:space="preserve">Method</w:t>
            </w:r>
          </w:p>
        </w:tc>
        <w:tc>
          <w:tcPr/>
          <w:p>
            <w:pPr>
              <w:pStyle w:val="Compact"/>
            </w:pPr>
            <w:r>
              <w:t xml:space="preserve">Global factors</w:t>
            </w:r>
          </w:p>
        </w:tc>
        <w:tc>
          <w:tcPr/>
          <w:p>
            <w:pPr>
              <w:pStyle w:val="Compact"/>
            </w:pPr>
            <w:r>
              <w:t xml:space="preserve">Per-layer exports</w:t>
            </w:r>
          </w:p>
        </w:tc>
        <w:tc>
          <w:tcPr/>
          <w:p>
            <w:pPr>
              <w:pStyle w:val="Compact"/>
            </w:pPr>
            <w:r>
              <w:t xml:space="preserve">Representative layer</w:t>
            </w:r>
          </w:p>
        </w:tc>
      </w:tr>
      <w:tr>
        <w:tc>
          <w:tcPr/>
          <w:p>
            <w:pPr>
              <w:pStyle w:val="Compact"/>
            </w:pPr>
            <w:r>
              <w:rPr>
                <w:rStyle w:val="VerbatimChar"/>
              </w:rPr>
              <w:t xml:space="preserve">truck_candidate_search_v2/best</w:t>
            </w:r>
          </w:p>
        </w:tc>
        <w:tc>
          <w:tcPr/>
          <w:p>
            <w:pPr>
              <w:pStyle w:val="Compact"/>
            </w:pPr>
            <w:r>
              <w:rPr>
                <w:rStyle w:val="VerbatimChar"/>
              </w:rPr>
              <w:t xml:space="preserve">retinex</w:t>
            </w:r>
          </w:p>
        </w:tc>
        <w:tc>
          <w:tcPr/>
          <w:p>
            <w:pPr>
              <w:pStyle w:val="Compact"/>
            </w:pPr>
            <w:r>
              <w:t xml:space="preserve">albedo + shading</w:t>
            </w:r>
          </w:p>
        </w:tc>
        <w:tc>
          <w:tcPr/>
          <w:p>
            <w:pPr>
              <w:pStyle w:val="Compact"/>
            </w:pPr>
            <w:r>
              <w:rPr>
                <w:rStyle w:val="VerbatimChar"/>
              </w:rPr>
              <w:t xml:space="preserve">20</w:t>
            </w:r>
            <w:r>
              <w:t xml:space="preserve"> </w:t>
            </w:r>
            <w:r>
              <w:t xml:space="preserve">albedo and</w:t>
            </w:r>
            <w:r>
              <w:t xml:space="preserve"> </w:t>
            </w:r>
            <w:r>
              <w:rPr>
                <w:rStyle w:val="VerbatimChar"/>
              </w:rPr>
              <w:t xml:space="preserve">20</w:t>
            </w:r>
            <w:r>
              <w:t xml:space="preserve"> </w:t>
            </w:r>
            <w:r>
              <w:t xml:space="preserve">shading layers</w:t>
            </w:r>
          </w:p>
        </w:tc>
        <w:tc>
          <w:tcPr/>
          <w:p>
            <w:pPr>
              <w:pStyle w:val="Compact"/>
            </w:pPr>
            <w:r>
              <w:rPr>
                <w:rStyle w:val="VerbatimChar"/>
              </w:rPr>
              <w:t xml:space="preserve">007_vehicle_car</w:t>
            </w:r>
          </w:p>
        </w:tc>
      </w:tr>
    </w:tbl>
    <w:p>
      <w:pPr>
        <w:pStyle w:val="BodyText"/>
      </w:pPr>
      <w:r>
        <w:t xml:space="preserve">Interpretation:</w:t>
      </w:r>
    </w:p>
    <w:p>
      <w:pPr>
        <w:pStyle w:val="Compact"/>
        <w:numPr>
          <w:ilvl w:val="0"/>
          <w:numId w:val="1026"/>
        </w:numPr>
      </w:pPr>
      <w:r>
        <w:t xml:space="preserve">the exported albedo and shading layers support recolouring-style demonstrations and inspection of appearance factors on top of the primary layer graph;</w:t>
      </w:r>
    </w:p>
    <w:p>
      <w:pPr>
        <w:pStyle w:val="Compact"/>
        <w:numPr>
          <w:ilvl w:val="0"/>
          <w:numId w:val="1026"/>
        </w:numPr>
      </w:pPr>
      <w:r>
        <w:t xml:space="preserve">the factorization remains approximate and is therefore treated as a stretch component rather than as a headline benchmark claim;</w:t>
      </w:r>
    </w:p>
    <w:p>
      <w:pPr>
        <w:pStyle w:val="Compact"/>
        <w:numPr>
          <w:ilvl w:val="0"/>
          <w:numId w:val="1026"/>
        </w:numPr>
      </w:pPr>
      <w:r>
        <w:t xml:space="preserve">the corresponding visual evidence is documented in</w:t>
      </w:r>
      <w:r>
        <w:t xml:space="preserve"> </w:t>
      </w:r>
      <w:r>
        <w:rPr>
          <w:rStyle w:val="VerbatimChar"/>
        </w:rPr>
        <w:t xml:space="preserve">docs/figures/intrinsic_layer_demo.png</w:t>
      </w:r>
      <w:r>
        <w:t xml:space="preserve">.</w:t>
      </w:r>
    </w:p>
    <w:bookmarkEnd w:id="187"/>
    <w:bookmarkEnd w:id="188"/>
    <w:bookmarkStart w:id="189" w:name="appendix-c-command-log"/>
    <w:p>
      <w:pPr>
        <w:pStyle w:val="Heading1"/>
      </w:pPr>
      <w:r>
        <w:t xml:space="preserve">Appendix C: Command Log</w:t>
      </w:r>
    </w:p>
    <w:p>
      <w:pPr>
        <w:pStyle w:val="FirstParagraph"/>
      </w:pPr>
      <w:r>
        <w:t xml:space="preserve">The full command log is shipped in</w:t>
      </w:r>
      <w:r>
        <w:t xml:space="preserve"> </w:t>
      </w:r>
      <w:hyperlink r:id="rId165">
        <w:r>
          <w:rPr>
            <w:rStyle w:val="Hyperlink"/>
          </w:rPr>
          <w:t xml:space="preserve">../../report_artifacts/command_log.md</w:t>
        </w:r>
      </w:hyperlink>
      <w:r>
        <w:t xml:space="preserve">. The final archive refresh used the following command families:</w:t>
      </w:r>
    </w:p>
    <w:p>
      <w:pPr>
        <w:pStyle w:val="SourceCode"/>
      </w:pPr>
      <w:r>
        <w:rPr>
          <w:rStyle w:val="ExtensionTok"/>
        </w:rPr>
        <w:t xml:space="preserve">./.venv/bin/pytest</w:t>
      </w:r>
      <w:r>
        <w:rPr>
          <w:rStyle w:val="NormalTok"/>
        </w:rPr>
        <w:t xml:space="preserve"> </w:t>
      </w:r>
      <w:r>
        <w:rPr>
          <w:rStyle w:val="AttributeTok"/>
        </w:rPr>
        <w:t xml:space="preserve">-q</w:t>
      </w:r>
      <w:r>
        <w:br/>
      </w:r>
      <w:r>
        <w:rPr>
          <w:rStyle w:val="ExtensionTok"/>
        </w:rPr>
        <w:t xml:space="preserve">python</w:t>
      </w:r>
      <w:r>
        <w:rPr>
          <w:rStyle w:val="NormalTok"/>
        </w:rPr>
        <w:t xml:space="preserve"> scripts/export_report_artifacts.py</w:t>
      </w:r>
      <w:r>
        <w:br/>
      </w:r>
      <w:r>
        <w:rPr>
          <w:rStyle w:val="ExtensionTok"/>
        </w:rPr>
        <w:t xml:space="preserve">python</w:t>
      </w:r>
      <w:r>
        <w:rPr>
          <w:rStyle w:val="NormalTok"/>
        </w:rPr>
        <w:t xml:space="preserve"> scripts/generate_report_figures.py</w:t>
      </w:r>
      <w:r>
        <w:br/>
      </w:r>
      <w:r>
        <w:rPr>
          <w:rStyle w:val="ExtensionTok"/>
        </w:rPr>
        <w:t xml:space="preserve">python</w:t>
      </w:r>
      <w:r>
        <w:rPr>
          <w:rStyle w:val="NormalTok"/>
        </w:rPr>
        <w:t xml:space="preserve"> scripts/build_report_docx.py</w:t>
      </w:r>
      <w:r>
        <w:br/>
      </w:r>
      <w:r>
        <w:rPr>
          <w:rStyle w:val="ExtensionTok"/>
        </w:rPr>
        <w:t xml:space="preserve">python</w:t>
      </w:r>
      <w:r>
        <w:rPr>
          <w:rStyle w:val="NormalTok"/>
        </w:rPr>
        <w:t xml:space="preserve"> scripts/build_site_data.py</w:t>
      </w:r>
      <w:r>
        <w:br/>
      </w:r>
      <w:r>
        <w:rPr>
          <w:rStyle w:val="ExtensionTok"/>
        </w:rPr>
        <w:t xml:space="preserve">python</w:t>
      </w:r>
      <w:r>
        <w:rPr>
          <w:rStyle w:val="NormalTok"/>
        </w:rPr>
        <w:t xml:space="preserve"> scripts/make_submission_zip.py</w:t>
      </w:r>
    </w:p>
    <w:p>
      <w:pPr>
        <w:pStyle w:val="FirstParagraph"/>
      </w:pPr>
      <w:r>
        <w:t xml:space="preserve">Those commands connect the final report outputs to the compact JSON summaries and generated figures that are stored in the report-artifact set.</w:t>
      </w:r>
    </w:p>
    <w:bookmarkEnd w:id="189"/>
    <w:bookmarkStart w:id="190" w:name="appendix-d-extra-literature-notes"/>
    <w:p>
      <w:pPr>
        <w:pStyle w:val="Heading1"/>
      </w:pPr>
      <w:r>
        <w:t xml:space="preserve">Appendix D: Extra Literature Notes</w:t>
      </w:r>
    </w:p>
    <w:p>
      <w:pPr>
        <w:pStyle w:val="FirstParagraph"/>
      </w:pPr>
      <w:r>
        <w:t xml:space="preserve">The literature used in this report clusters into five recurring themes:</w:t>
      </w:r>
    </w:p>
    <w:p>
      <w:pPr>
        <w:pStyle w:val="Compact"/>
        <w:numPr>
          <w:ilvl w:val="0"/>
          <w:numId w:val="1027"/>
        </w:numPr>
      </w:pPr>
      <w:r>
        <w:t xml:space="preserve">layered rendering and depth-aware image representations;</w:t>
      </w:r>
    </w:p>
    <w:p>
      <w:pPr>
        <w:pStyle w:val="Compact"/>
        <w:numPr>
          <w:ilvl w:val="0"/>
          <w:numId w:val="1027"/>
        </w:numPr>
      </w:pPr>
      <w:r>
        <w:t xml:space="preserve">panoptic, amodal, and promptable segmentation;</w:t>
      </w:r>
    </w:p>
    <w:p>
      <w:pPr>
        <w:pStyle w:val="Compact"/>
        <w:numPr>
          <w:ilvl w:val="0"/>
          <w:numId w:val="1027"/>
        </w:numPr>
      </w:pPr>
      <w:r>
        <w:t xml:space="preserve">single-image intrinsic decomposition and matting;</w:t>
      </w:r>
    </w:p>
    <w:p>
      <w:pPr>
        <w:pStyle w:val="Compact"/>
        <w:numPr>
          <w:ilvl w:val="0"/>
          <w:numId w:val="1027"/>
        </w:numPr>
      </w:pPr>
      <w:r>
        <w:t xml:space="preserve">generative layered decomposition systems such as Qwen-Image-Layered and LayerDecomp-style methods;</w:t>
      </w:r>
    </w:p>
    <w:p>
      <w:pPr>
        <w:pStyle w:val="Compact"/>
        <w:numPr>
          <w:ilvl w:val="0"/>
          <w:numId w:val="1027"/>
        </w:numPr>
      </w:pPr>
      <w:r>
        <w:t xml:space="preserve">editing-oriented scene representations that prioritize reusable structure rather than one-off reconstruction.</w:t>
      </w:r>
    </w:p>
    <w:p>
      <w:pPr>
        <w:pStyle w:val="FirstParagraph"/>
      </w:pPr>
      <w:r>
        <w:t xml:space="preserve">Extended repository notes remain available in</w:t>
      </w:r>
      <w:r>
        <w:t xml:space="preserve"> </w:t>
      </w:r>
      <w:r>
        <w:rPr>
          <w:rStyle w:val="VerbatimChar"/>
        </w:rPr>
        <w:t xml:space="preserve">docs/LITERATURE_REVIEW.md</w:t>
      </w:r>
      <w:r>
        <w:t xml:space="preserve"> </w:t>
      </w:r>
      <w:r>
        <w:t xml:space="preserve">and</w:t>
      </w:r>
      <w:r>
        <w:t xml:space="preserve"> </w:t>
      </w:r>
      <w:r>
        <w:rPr>
          <w:rStyle w:val="VerbatimChar"/>
        </w:rPr>
        <w:t xml:space="preserve">docs/REFERENCES.md</w:t>
      </w:r>
      <w:r>
        <w:t xml:space="preserve">, but the report body and the references section are the intended citation surface for submission.</w:t>
      </w:r>
    </w:p>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43" Target="media/rId14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hyperlink" Id="rId161" Target="../../PROJECT_MANIFEST.json" TargetMode="External" /><Relationship Type="http://schemas.openxmlformats.org/officeDocument/2006/relationships/hyperlink" Id="rId162" Target="../../report_artifacts/README.md" TargetMode="External" /><Relationship Type="http://schemas.openxmlformats.org/officeDocument/2006/relationships/hyperlink" Id="rId165" Target="../../report_artifacts/command_log.md" TargetMode="External" /><Relationship Type="http://schemas.openxmlformats.org/officeDocument/2006/relationships/hyperlink" Id="rId164" Target="../../report_artifacts/figure_sources/figure_manifest.json" TargetMode="External" /><Relationship Type="http://schemas.openxmlformats.org/officeDocument/2006/relationships/hyperlink" Id="rId163" Target="../../report_artifacts/metrics_snapshots" TargetMode="External" /><Relationship Type="http://schemas.openxmlformats.org/officeDocument/2006/relationships/hyperlink" Id="rId169" Target="../FIGURES.md" TargetMode="External" /><Relationship Type="http://schemas.openxmlformats.org/officeDocument/2006/relationships/hyperlink" Id="rId170" Target="../PRODUCT_ARCHITECTURE_AND_LAUNCH.md" TargetMode="External" /><Relationship Type="http://schemas.openxmlformats.org/officeDocument/2006/relationships/hyperlink" Id="rId167" Target="../QWEN_IMAGE_LAYERED_COMPARISON.md" TargetMode="External" /><Relationship Type="http://schemas.openxmlformats.org/officeDocument/2006/relationships/hyperlink" Id="rId168" Target="../REPORT_TABLES.md" TargetMode="External" /><Relationship Type="http://schemas.openxmlformats.org/officeDocument/2006/relationships/hyperlink" Id="rId166" Target="../RESULTS_SUMMARY_CURRENT.md" TargetMode="External" /><Relationship Type="http://schemas.openxmlformats.org/officeDocument/2006/relationships/hyperlink" Id="rId171" Target="../api/openapi.yaml" TargetMode="External" /></Relationships>
</file>

<file path=word/_rels/footnotes.xml.rels><?xml version="1.0" encoding="UTF-8"?><Relationships xmlns="http://schemas.openxmlformats.org/package/2006/relationships"><Relationship Type="http://schemas.openxmlformats.org/officeDocument/2006/relationships/hyperlink" Id="rId161" Target="../../PROJECT_MANIFEST.json" TargetMode="External" /><Relationship Type="http://schemas.openxmlformats.org/officeDocument/2006/relationships/hyperlink" Id="rId162" Target="../../report_artifacts/README.md" TargetMode="External" /><Relationship Type="http://schemas.openxmlformats.org/officeDocument/2006/relationships/hyperlink" Id="rId165" Target="../../report_artifacts/command_log.md" TargetMode="External" /><Relationship Type="http://schemas.openxmlformats.org/officeDocument/2006/relationships/hyperlink" Id="rId164" Target="../../report_artifacts/figure_sources/figure_manifest.json" TargetMode="External" /><Relationship Type="http://schemas.openxmlformats.org/officeDocument/2006/relationships/hyperlink" Id="rId163" Target="../../report_artifacts/metrics_snapshots" TargetMode="External" /><Relationship Type="http://schemas.openxmlformats.org/officeDocument/2006/relationships/hyperlink" Id="rId169" Target="../FIGURES.md" TargetMode="External" /><Relationship Type="http://schemas.openxmlformats.org/officeDocument/2006/relationships/hyperlink" Id="rId170" Target="../PRODUCT_ARCHITECTURE_AND_LAUNCH.md" TargetMode="External" /><Relationship Type="http://schemas.openxmlformats.org/officeDocument/2006/relationships/hyperlink" Id="rId167" Target="../QWEN_IMAGE_LAYERED_COMPARISON.md" TargetMode="External" /><Relationship Type="http://schemas.openxmlformats.org/officeDocument/2006/relationships/hyperlink" Id="rId168" Target="../REPORT_TABLES.md" TargetMode="External" /><Relationship Type="http://schemas.openxmlformats.org/officeDocument/2006/relationships/hyperlink" Id="rId166" Target="../RESULTS_SUMMARY_CURRENT.md" TargetMode="External" /><Relationship Type="http://schemas.openxmlformats.org/officeDocument/2006/relationships/hyperlink" Id="rId171" Target="../api/openapi.y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2026-04-23T16:30:24Z</dcterms:created>
  <dcterms:modified xsi:type="dcterms:W3CDTF">2026-04-23T16:30:24Z</dcterms:modified>
</cp:coreProperties>
</file>

<file path=docProps/custom.xml><?xml version="1.0" encoding="utf-8"?>
<Properties xmlns="http://schemas.openxmlformats.org/officeDocument/2006/custom-properties" xmlns:vt="http://schemas.openxmlformats.org/officeDocument/2006/docPropsVTypes"/>
</file>