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56"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48"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4853</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0.3529</w:t>
            </w:r>
          </w:p>
        </w:tc>
      </w:tr>
    </w:tbl>
    <w:bookmarkEnd w:id="149"/>
    <w:bookmarkStart w:id="150"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0.1126</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56.2836</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55"/>
    <w:bookmarkEnd w:id="156"/>
    <w:bookmarkStart w:id="157"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7"/>
    <w:bookmarkStart w:id="158"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8"/>
    <w:bookmarkStart w:id="159"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59"/>
    <w:bookmarkStart w:id="160"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0"/>
    <w:bookmarkStart w:id="172"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61">
        <w:r>
          <w:rPr>
            <w:rStyle w:val="Hyperlink"/>
          </w:rPr>
          <w:t xml:space="preserve">../../PROJECT_MANIFEST.json</w:t>
        </w:r>
      </w:hyperlink>
    </w:p>
    <w:p>
      <w:pPr>
        <w:pStyle w:val="Compact"/>
        <w:numPr>
          <w:ilvl w:val="0"/>
          <w:numId w:val="1019"/>
        </w:numPr>
      </w:pPr>
      <w:hyperlink r:id="rId162">
        <w:r>
          <w:rPr>
            <w:rStyle w:val="Hyperlink"/>
          </w:rPr>
          <w:t xml:space="preserve">../../report_artifacts/README.md</w:t>
        </w:r>
      </w:hyperlink>
    </w:p>
    <w:p>
      <w:pPr>
        <w:pStyle w:val="Compact"/>
        <w:numPr>
          <w:ilvl w:val="0"/>
          <w:numId w:val="1019"/>
        </w:numPr>
      </w:pPr>
      <w:hyperlink r:id="rId163">
        <w:r>
          <w:rPr>
            <w:rStyle w:val="Hyperlink"/>
          </w:rPr>
          <w:t xml:space="preserve">../../report_artifacts/metrics_snapshots/</w:t>
        </w:r>
      </w:hyperlink>
    </w:p>
    <w:p>
      <w:pPr>
        <w:pStyle w:val="Compact"/>
        <w:numPr>
          <w:ilvl w:val="0"/>
          <w:numId w:val="1019"/>
        </w:numPr>
      </w:pPr>
      <w:hyperlink r:id="rId164">
        <w:r>
          <w:rPr>
            <w:rStyle w:val="Hyperlink"/>
          </w:rPr>
          <w:t xml:space="preserve">../../report_artifacts/figure_sources/figure_manifest.json</w:t>
        </w:r>
      </w:hyperlink>
    </w:p>
    <w:p>
      <w:pPr>
        <w:pStyle w:val="Compact"/>
        <w:numPr>
          <w:ilvl w:val="0"/>
          <w:numId w:val="1019"/>
        </w:numPr>
      </w:pPr>
      <w:hyperlink r:id="rId165">
        <w:r>
          <w:rPr>
            <w:rStyle w:val="Hyperlink"/>
          </w:rPr>
          <w:t xml:space="preserve">../../report_artifacts/command_log.md</w:t>
        </w:r>
      </w:hyperlink>
    </w:p>
    <w:p>
      <w:pPr>
        <w:pStyle w:val="Compact"/>
        <w:numPr>
          <w:ilvl w:val="0"/>
          <w:numId w:val="1019"/>
        </w:numPr>
      </w:pPr>
      <w:hyperlink r:id="rId166">
        <w:r>
          <w:rPr>
            <w:rStyle w:val="Hyperlink"/>
          </w:rPr>
          <w:t xml:space="preserve">../RESULTS_SUMMARY_CURRENT.md</w:t>
        </w:r>
      </w:hyperlink>
    </w:p>
    <w:p>
      <w:pPr>
        <w:pStyle w:val="Compact"/>
        <w:numPr>
          <w:ilvl w:val="0"/>
          <w:numId w:val="1019"/>
        </w:numPr>
      </w:pPr>
      <w:hyperlink r:id="rId167">
        <w:r>
          <w:rPr>
            <w:rStyle w:val="Hyperlink"/>
          </w:rPr>
          <w:t xml:space="preserve">../QWEN_IMAGE_LAYERED_COMPARISON.md</w:t>
        </w:r>
      </w:hyperlink>
    </w:p>
    <w:p>
      <w:pPr>
        <w:pStyle w:val="Compact"/>
        <w:numPr>
          <w:ilvl w:val="0"/>
          <w:numId w:val="1019"/>
        </w:numPr>
      </w:pPr>
      <w:hyperlink r:id="rId168">
        <w:r>
          <w:rPr>
            <w:rStyle w:val="Hyperlink"/>
          </w:rPr>
          <w:t xml:space="preserve">../REPORT_TABLES.md</w:t>
        </w:r>
      </w:hyperlink>
    </w:p>
    <w:p>
      <w:pPr>
        <w:pStyle w:val="Compact"/>
        <w:numPr>
          <w:ilvl w:val="0"/>
          <w:numId w:val="1019"/>
        </w:numPr>
      </w:pPr>
      <w:hyperlink r:id="rId169">
        <w:r>
          <w:rPr>
            <w:rStyle w:val="Hyperlink"/>
          </w:rPr>
          <w:t xml:space="preserve">../FIGURES.md</w:t>
        </w:r>
      </w:hyperlink>
    </w:p>
    <w:p>
      <w:pPr>
        <w:pStyle w:val="Compact"/>
        <w:numPr>
          <w:ilvl w:val="0"/>
          <w:numId w:val="1019"/>
        </w:numPr>
      </w:pPr>
      <w:hyperlink r:id="rId170">
        <w:r>
          <w:rPr>
            <w:rStyle w:val="Hyperlink"/>
          </w:rPr>
          <w:t xml:space="preserve">../PRODUCT_ARCHITECTURE_AND_LAUNCH.md</w:t>
        </w:r>
      </w:hyperlink>
    </w:p>
    <w:p>
      <w:pPr>
        <w:pStyle w:val="Compact"/>
        <w:numPr>
          <w:ilvl w:val="0"/>
          <w:numId w:val="1019"/>
        </w:numPr>
      </w:pPr>
      <w:hyperlink r:id="rId171">
        <w:r>
          <w:rPr>
            <w:rStyle w:val="Hyperlink"/>
          </w:rPr>
          <w:t xml:space="preserve">../api/openapi.yaml</w:t>
        </w:r>
      </w:hyperlink>
    </w:p>
    <w:bookmarkEnd w:id="172"/>
    <w:bookmarkStart w:id="188"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3a-qwen-layer-count-sweep"/>
    <w:p>
      <w:pPr>
        <w:pStyle w:val="Heading2"/>
      </w:pPr>
      <w:r>
        <w:t xml:space="preserve">B.3a Qwen layer-count sweep</w:t>
      </w:r>
    </w:p>
    <w:p>
      <w:pPr>
        <w:pStyle w:val="FirstParagraph"/>
      </w:pPr>
      <w:r>
        <w:t xml:space="preserve">The repository also includes a measured five-image</w:t>
      </w:r>
      <w:r>
        <w:t xml:space="preserve"> </w:t>
      </w:r>
      <w:r>
        <w:rPr>
          <w:rStyle w:val="VerbatimChar"/>
        </w:rPr>
        <w:t xml:space="preserve">3/4/6/8</w:t>
      </w:r>
      <w:r>
        <w:t xml:space="preserve"> </w:t>
      </w:r>
      <w:r>
        <w:t xml:space="preserve">sweep for the Qwen family. This experiment keeps the same five images while varying the requested Qwen layer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r>
      <w:tr>
        <w:tc>
          <w:tcPr/>
          <w:p>
            <w:pPr>
              <w:pStyle w:val="Compact"/>
            </w:pPr>
            <w:r>
              <w:t xml:space="preserve">Q raw3</w:t>
            </w:r>
          </w:p>
        </w:tc>
        <w:tc>
          <w:tcPr/>
          <w:p>
            <w:pPr>
              <w:pStyle w:val="Compact"/>
              <w:jc w:val="right"/>
            </w:pPr>
            <w:r>
              <w:t xml:space="preserve">29.7574</w:t>
            </w:r>
          </w:p>
        </w:tc>
        <w:tc>
          <w:tcPr/>
          <w:p>
            <w:pPr>
              <w:pStyle w:val="Compact"/>
              <w:jc w:val="right"/>
            </w:pPr>
            <w:r>
              <w:t xml:space="preserve">0.8874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 raw6</w:t>
            </w:r>
          </w:p>
        </w:tc>
        <w:tc>
          <w:tcPr/>
          <w:p>
            <w:pPr>
              <w:pStyle w:val="Compact"/>
              <w:jc w:val="right"/>
            </w:pPr>
            <w:r>
              <w:t xml:space="preserve">29.1079</w:t>
            </w:r>
          </w:p>
        </w:tc>
        <w:tc>
          <w:tcPr/>
          <w:p>
            <w:pPr>
              <w:pStyle w:val="Compact"/>
              <w:jc w:val="right"/>
            </w:pPr>
            <w:r>
              <w:t xml:space="preserve">0.8800</w:t>
            </w:r>
          </w:p>
        </w:tc>
      </w:tr>
      <w:tr>
        <w:tc>
          <w:tcPr/>
          <w:p>
            <w:pPr>
              <w:pStyle w:val="Compact"/>
            </w:pPr>
            <w:r>
              <w:t xml:space="preserve">Q raw8</w:t>
            </w:r>
          </w:p>
        </w:tc>
        <w:tc>
          <w:tcPr/>
          <w:p>
            <w:pPr>
              <w:pStyle w:val="Compact"/>
              <w:jc w:val="right"/>
            </w:pPr>
            <w:r>
              <w:t xml:space="preserve">27.1419</w:t>
            </w:r>
          </w:p>
        </w:tc>
        <w:tc>
          <w:tcPr/>
          <w:p>
            <w:pPr>
              <w:pStyle w:val="Compact"/>
              <w:jc w:val="right"/>
            </w:pPr>
            <w:r>
              <w:t xml:space="preserve">0.8663</w:t>
            </w:r>
          </w:p>
        </w:tc>
      </w:tr>
      <w:tr>
        <w:tc>
          <w:tcPr/>
          <w:p>
            <w:pPr>
              <w:pStyle w:val="Compact"/>
            </w:pPr>
            <w:r>
              <w:t xml:space="preserve">Q+G-P3</w:t>
            </w:r>
          </w:p>
        </w:tc>
        <w:tc>
          <w:tcPr/>
          <w:p>
            <w:pPr>
              <w:pStyle w:val="Compact"/>
              <w:jc w:val="right"/>
            </w:pPr>
            <w:r>
              <w:t xml:space="preserve">29.2311</w:t>
            </w:r>
          </w:p>
        </w:tc>
        <w:tc>
          <w:tcPr/>
          <w:p>
            <w:pPr>
              <w:pStyle w:val="Compact"/>
              <w:jc w:val="right"/>
            </w:pPr>
            <w:r>
              <w:t xml:space="preserve">0.8663</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Q+G-P6</w:t>
            </w:r>
          </w:p>
        </w:tc>
        <w:tc>
          <w:tcPr/>
          <w:p>
            <w:pPr>
              <w:pStyle w:val="Compact"/>
              <w:jc w:val="right"/>
            </w:pPr>
            <w:r>
              <w:t xml:space="preserve">28.6464</w:t>
            </w:r>
          </w:p>
        </w:tc>
        <w:tc>
          <w:tcPr/>
          <w:p>
            <w:pPr>
              <w:pStyle w:val="Compact"/>
              <w:jc w:val="right"/>
            </w:pPr>
            <w:r>
              <w:t xml:space="preserve">0.8588</w:t>
            </w:r>
          </w:p>
        </w:tc>
      </w:tr>
      <w:tr>
        <w:tc>
          <w:tcPr/>
          <w:p>
            <w:pPr>
              <w:pStyle w:val="Compact"/>
            </w:pPr>
            <w:r>
              <w:t xml:space="preserve">Q+G-P8</w:t>
            </w:r>
          </w:p>
        </w:tc>
        <w:tc>
          <w:tcPr/>
          <w:p>
            <w:pPr>
              <w:pStyle w:val="Compact"/>
              <w:jc w:val="right"/>
            </w:pPr>
            <w:r>
              <w:t xml:space="preserve">26.7452</w:t>
            </w:r>
          </w:p>
        </w:tc>
        <w:tc>
          <w:tcPr/>
          <w:p>
            <w:pPr>
              <w:pStyle w:val="Compact"/>
              <w:jc w:val="right"/>
            </w:pPr>
            <w:r>
              <w:t xml:space="preserve">0.8444</w:t>
            </w:r>
          </w:p>
        </w:tc>
      </w:tr>
      <w:tr>
        <w:tc>
          <w:tcPr/>
          <w:p>
            <w:pPr>
              <w:pStyle w:val="Compact"/>
            </w:pPr>
            <w:r>
              <w:t xml:space="preserve">Q+G-R3</w:t>
            </w:r>
          </w:p>
        </w:tc>
        <w:tc>
          <w:tcPr/>
          <w:p>
            <w:pPr>
              <w:pStyle w:val="Compact"/>
              <w:jc w:val="right"/>
            </w:pPr>
            <w:r>
              <w:t xml:space="preserve">29.2263</w:t>
            </w:r>
          </w:p>
        </w:tc>
        <w:tc>
          <w:tcPr/>
          <w:p>
            <w:pPr>
              <w:pStyle w:val="Compact"/>
              <w:jc w:val="right"/>
            </w:pPr>
            <w:r>
              <w:t xml:space="preserve">0.8663</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r>
        <w:tc>
          <w:tcPr/>
          <w:p>
            <w:pPr>
              <w:pStyle w:val="Compact"/>
            </w:pPr>
            <w:r>
              <w:t xml:space="preserve">Q+G-R6</w:t>
            </w:r>
          </w:p>
        </w:tc>
        <w:tc>
          <w:tcPr/>
          <w:p>
            <w:pPr>
              <w:pStyle w:val="Compact"/>
              <w:jc w:val="right"/>
            </w:pPr>
            <w:r>
              <w:t xml:space="preserve">28.6964</w:t>
            </w:r>
          </w:p>
        </w:tc>
        <w:tc>
          <w:tcPr/>
          <w:p>
            <w:pPr>
              <w:pStyle w:val="Compact"/>
              <w:jc w:val="right"/>
            </w:pPr>
            <w:r>
              <w:t xml:space="preserve">0.8586</w:t>
            </w:r>
          </w:p>
        </w:tc>
      </w:tr>
      <w:tr>
        <w:tc>
          <w:tcPr/>
          <w:p>
            <w:pPr>
              <w:pStyle w:val="Compact"/>
            </w:pPr>
            <w:r>
              <w:t xml:space="preserve">Q+G-R8</w:t>
            </w:r>
          </w:p>
        </w:tc>
        <w:tc>
          <w:tcPr/>
          <w:p>
            <w:pPr>
              <w:pStyle w:val="Compact"/>
              <w:jc w:val="right"/>
            </w:pPr>
            <w:r>
              <w:t xml:space="preserve">26.7543</w:t>
            </w:r>
          </w:p>
        </w:tc>
        <w:tc>
          <w:tcPr/>
          <w:p>
            <w:pPr>
              <w:pStyle w:val="Compact"/>
              <w:jc w:val="right"/>
            </w:pPr>
            <w:r>
              <w:t xml:space="preserve">0.8443</w:t>
            </w:r>
          </w:p>
        </w:tc>
      </w:tr>
    </w:tbl>
    <w:p>
      <w:pPr>
        <w:pStyle w:val="BodyText"/>
      </w:pPr>
      <w:r>
        <w:t xml:space="preserve">Interpretation:</w:t>
      </w:r>
    </w:p>
    <w:p>
      <w:pPr>
        <w:pStyle w:val="Compact"/>
        <w:numPr>
          <w:ilvl w:val="0"/>
          <w:numId w:val="1023"/>
        </w:numPr>
      </w:pPr>
      <w:r>
        <w:rPr>
          <w:rStyle w:val="VerbatimChar"/>
        </w:rPr>
        <w:t xml:space="preserve">Qwen raw (3)</w:t>
      </w:r>
      <w:r>
        <w:t xml:space="preserve"> </w:t>
      </w:r>
      <w:r>
        <w:t xml:space="preserve">is the strongest compact pure-fidelity setting on the measured five-image bank, with</w:t>
      </w:r>
      <w:r>
        <w:t xml:space="preserve"> </w:t>
      </w:r>
      <w:r>
        <w:rPr>
          <w:rStyle w:val="VerbatimChar"/>
        </w:rPr>
        <w:t xml:space="preserve">Qwen raw (6)</w:t>
      </w:r>
      <w:r>
        <w:t xml:space="preserve"> </w:t>
      </w:r>
      <w:r>
        <w:t xml:space="preserve">close behind;</w:t>
      </w:r>
    </w:p>
    <w:p>
      <w:pPr>
        <w:pStyle w:val="Compact"/>
        <w:numPr>
          <w:ilvl w:val="0"/>
          <w:numId w:val="1023"/>
        </w:numPr>
      </w:pPr>
      <w:r>
        <w:t xml:space="preserve">preserve-style hybrid enrichment remains relatively stable through</w:t>
      </w:r>
      <w:r>
        <w:t xml:space="preserve"> </w:t>
      </w:r>
      <w:r>
        <w:rPr>
          <w:rStyle w:val="VerbatimChar"/>
        </w:rPr>
        <w:t xml:space="preserve">3/4/6</w:t>
      </w:r>
      <w:r>
        <w:t xml:space="preserve"> </w:t>
      </w:r>
      <w:r>
        <w:t xml:space="preserve">layers, although it still trails raw Qwen on recomposition fidelity;</w:t>
      </w:r>
    </w:p>
    <w:p>
      <w:pPr>
        <w:pStyle w:val="Compact"/>
        <w:numPr>
          <w:ilvl w:val="0"/>
          <w:numId w:val="1023"/>
        </w:numPr>
      </w:pPr>
      <w:r>
        <w:t xml:space="preserve">deeper reorder rows are now protected by a fidelity guardrail: graph-order export remains active on compact stacks, while</w:t>
      </w:r>
      <w:r>
        <w:t xml:space="preserve"> </w:t>
      </w:r>
      <w:r>
        <w:rPr>
          <w:rStyle w:val="VerbatimChar"/>
        </w:rPr>
        <w:t xml:space="preserve">3/5</w:t>
      </w:r>
      <w:r>
        <w:t xml:space="preserve"> </w:t>
      </w:r>
      <w:r>
        <w:t xml:space="preserve">six-layer runs and</w:t>
      </w:r>
      <w:r>
        <w:t xml:space="preserve"> </w:t>
      </w:r>
      <w:r>
        <w:rPr>
          <w:rStyle w:val="VerbatimChar"/>
        </w:rPr>
        <w:t xml:space="preserve">4/5</w:t>
      </w:r>
      <w:r>
        <w:t xml:space="preserve"> </w:t>
      </w:r>
      <w:r>
        <w:t xml:space="preserve">eight-layer runs fall back to the selected external visual stack when graph order is materially worse.</w:t>
      </w:r>
    </w:p>
    <w:bookmarkEnd w:id="176"/>
    <w:bookmarkStart w:id="177"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0.7719</w:t>
            </w:r>
          </w:p>
        </w:tc>
        <w:tc>
          <w:tcPr/>
          <w:p>
            <w:pPr>
              <w:pStyle w:val="Compact"/>
              <w:jc w:val="right"/>
            </w:pPr>
            <w:r>
              <w:t xml:space="preserve">0.0521</w:t>
            </w:r>
          </w:p>
        </w:tc>
      </w:tr>
    </w:tbl>
    <w:p>
      <w:pPr>
        <w:pStyle w:val="BodyText"/>
      </w:pPr>
      <w:r>
        <w:t xml:space="preserve">Interpretation:</w:t>
      </w:r>
    </w:p>
    <w:p>
      <w:pPr>
        <w:pStyle w:val="Compact"/>
        <w:numPr>
          <w:ilvl w:val="0"/>
          <w:numId w:val="1024"/>
        </w:numPr>
      </w:pPr>
      <w:r>
        <w:t xml:space="preserve">text-bearing prompts identify the intended semantic target on the measured synthetic set;</w:t>
      </w:r>
    </w:p>
    <w:p>
      <w:pPr>
        <w:pStyle w:val="Compact"/>
        <w:numPr>
          <w:ilvl w:val="0"/>
          <w:numId w:val="1024"/>
        </w:numPr>
      </w:pPr>
      <w:r>
        <w:t xml:space="preserve">combined text + point and text + box queries improve overlap over text-only prompting while preserving the same semantic hit rate;</w:t>
      </w:r>
    </w:p>
    <w:p>
      <w:pPr>
        <w:pStyle w:val="Compact"/>
        <w:numPr>
          <w:ilvl w:val="0"/>
          <w:numId w:val="1024"/>
        </w:numPr>
      </w:pPr>
      <w:r>
        <w:t xml:space="preserve">point-only and box-only prompts still achieve high overlap while missing the semantic target, so the remaining limitation is routing without a text label rather than matte stability.</w:t>
      </w:r>
    </w:p>
    <w:bookmarkEnd w:id="177"/>
    <w:bookmarkStart w:id="178"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0.1126</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56.2836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5"/>
        </w:numPr>
      </w:pPr>
      <w:r>
        <w:t xml:space="preserve">transparent recomposition is a sanity check; alpha error and clean-background quality are the primary transparent metrics;</w:t>
      </w:r>
    </w:p>
    <w:p>
      <w:pPr>
        <w:pStyle w:val="Compact"/>
        <w:numPr>
          <w:ilvl w:val="0"/>
          <w:numId w:val="1025"/>
        </w:numPr>
      </w:pPr>
      <w:r>
        <w:t xml:space="preserve">the current path is best interpreted as approximate transparent-layer recovery rather than as a generative transparent-decomposition result;</w:t>
      </w:r>
    </w:p>
    <w:p>
      <w:pPr>
        <w:pStyle w:val="Compact"/>
        <w:numPr>
          <w:ilvl w:val="0"/>
          <w:numId w:val="1025"/>
        </w:numPr>
      </w:pPr>
      <w:r>
        <w:t xml:space="preserve">an optional BiRefNet-based matting backend is integrated in the codebase, but the shipped benchmark config keeps the heuristic alpha path because it remains the stronger measured default on this synthetic set;</w:t>
      </w:r>
    </w:p>
    <w:p>
      <w:pPr>
        <w:pStyle w:val="Compact"/>
        <w:numPr>
          <w:ilvl w:val="0"/>
          <w:numId w:val="1025"/>
        </w:numPr>
      </w:pPr>
      <w:r>
        <w:t xml:space="preserve">the prototype is strongest on flare-like overlays and weakest on the semi-transparent panel variant.</w:t>
      </w:r>
    </w:p>
    <w:bookmarkEnd w:id="178"/>
    <w:bookmarkStart w:id="181" w:name="b.6-main-ablation-matrix"/>
    <w:p>
      <w:pPr>
        <w:pStyle w:val="Heading2"/>
      </w:pPr>
      <w:r>
        <w:t xml:space="preserve">B.6 Main ablation matrix</w:t>
      </w:r>
    </w:p>
    <w:bookmarkStart w:id="179"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9"/>
    <w:bookmarkStart w:id="180"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0"/>
    <w:bookmarkEnd w:id="181"/>
    <w:bookmarkStart w:id="184" w:name="b.7-literature-comparison"/>
    <w:p>
      <w:pPr>
        <w:pStyle w:val="Heading2"/>
      </w:pPr>
      <w:r>
        <w:t xml:space="preserve">B.7 Literature comparison</w:t>
      </w:r>
    </w:p>
    <w:bookmarkStart w:id="182"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2"/>
    <w:bookmarkStart w:id="183"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3"/>
    <w:bookmarkEnd w:id="184"/>
    <w:bookmarkStart w:id="185"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5"/>
    <w:bookmarkStart w:id="186"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6"/>
    <w:bookmarkStart w:id="187"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6"/>
        </w:numPr>
      </w:pPr>
      <w:r>
        <w:t xml:space="preserve">the exported albedo and shading layers support recolouring-style demonstrations and inspection of appearance factors on top of the primary layer graph;</w:t>
      </w:r>
    </w:p>
    <w:p>
      <w:pPr>
        <w:pStyle w:val="Compact"/>
        <w:numPr>
          <w:ilvl w:val="0"/>
          <w:numId w:val="1026"/>
        </w:numPr>
      </w:pPr>
      <w:r>
        <w:t xml:space="preserve">the factorization remains approximate and is therefore treated as a stretch component rather than as a headline benchmark claim;</w:t>
      </w:r>
    </w:p>
    <w:p>
      <w:pPr>
        <w:pStyle w:val="Compact"/>
        <w:numPr>
          <w:ilvl w:val="0"/>
          <w:numId w:val="1026"/>
        </w:numPr>
      </w:pPr>
      <w:r>
        <w:t xml:space="preserve">the corresponding visual evidence is documented in</w:t>
      </w:r>
      <w:r>
        <w:t xml:space="preserve"> </w:t>
      </w:r>
      <w:r>
        <w:rPr>
          <w:rStyle w:val="VerbatimChar"/>
        </w:rPr>
        <w:t xml:space="preserve">docs/figures/intrinsic_layer_demo.png</w:t>
      </w:r>
      <w:r>
        <w:t xml:space="preserve">.</w:t>
      </w:r>
    </w:p>
    <w:bookmarkEnd w:id="187"/>
    <w:bookmarkEnd w:id="188"/>
    <w:bookmarkStart w:id="189" w:name="appendix-c-command-log"/>
    <w:p>
      <w:pPr>
        <w:pStyle w:val="Heading1"/>
      </w:pPr>
      <w:r>
        <w:t xml:space="preserve">Appendix C: Command Log</w:t>
      </w:r>
    </w:p>
    <w:p>
      <w:pPr>
        <w:pStyle w:val="FirstParagraph"/>
      </w:pPr>
      <w:r>
        <w:t xml:space="preserve">The full command log is shipped in</w:t>
      </w:r>
      <w:r>
        <w:t xml:space="preserve"> </w:t>
      </w:r>
      <w:hyperlink r:id="rId165">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189"/>
    <w:bookmarkStart w:id="190"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7"/>
        </w:numPr>
      </w:pPr>
      <w:r>
        <w:t xml:space="preserve">layered rendering and depth-aware image representations;</w:t>
      </w:r>
    </w:p>
    <w:p>
      <w:pPr>
        <w:pStyle w:val="Compact"/>
        <w:numPr>
          <w:ilvl w:val="0"/>
          <w:numId w:val="1027"/>
        </w:numPr>
      </w:pPr>
      <w:r>
        <w:t xml:space="preserve">panoptic, amodal, and promptable segmentation;</w:t>
      </w:r>
    </w:p>
    <w:p>
      <w:pPr>
        <w:pStyle w:val="Compact"/>
        <w:numPr>
          <w:ilvl w:val="0"/>
          <w:numId w:val="1027"/>
        </w:numPr>
      </w:pPr>
      <w:r>
        <w:t xml:space="preserve">single-image intrinsic decomposition and matting;</w:t>
      </w:r>
    </w:p>
    <w:p>
      <w:pPr>
        <w:pStyle w:val="Compact"/>
        <w:numPr>
          <w:ilvl w:val="0"/>
          <w:numId w:val="1027"/>
        </w:numPr>
      </w:pPr>
      <w:r>
        <w:t xml:space="preserve">generative layered decomposition systems such as Qwen-Image-Layered and LayerDecomp-style methods;</w:t>
      </w:r>
    </w:p>
    <w:p>
      <w:pPr>
        <w:pStyle w:val="Compact"/>
        <w:numPr>
          <w:ilvl w:val="0"/>
          <w:numId w:val="1027"/>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2026-04-23T19:21:05Z</dcterms:created>
  <dcterms:modified xsi:type="dcterms:W3CDTF">2026-04-23T19:21:05Z</dcterms:modified>
</cp:coreProperties>
</file>

<file path=docProps/custom.xml><?xml version="1.0" encoding="utf-8"?>
<Properties xmlns="http://schemas.openxmlformats.org/officeDocument/2006/custom-properties" xmlns:vt="http://schemas.openxmlformats.org/officeDocument/2006/docPropsVTypes"/>
</file>