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6.png" ContentType="image/png"/>
  <Override PartName="/word/media/rId174.png" ContentType="image/png"/>
  <Override PartName="/word/media/rId178.png" ContentType="image/png"/>
  <Override PartName="/word/media/rId182.png" ContentType="image/png"/>
  <Override PartName="/word/media/rId1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24"/>
    <w:bookmarkStart w:id="25"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25"/>
    <w:bookmarkStart w:id="26"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26"/>
    <w:bookmarkStart w:id="27"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27"/>
    <w:bookmarkStart w:id="28"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28"/>
    <w:bookmarkStart w:id="29"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29"/>
    <w:bookmarkStart w:id="30"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30"/>
    <w:bookmarkStart w:id="31"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31"/>
    <w:bookmarkStart w:id="32"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32"/>
    <w:bookmarkStart w:id="33"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33"/>
    <w:bookmarkStart w:id="34"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34"/>
    <w:bookmarkStart w:id="35"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35"/>
    <w:bookmarkStart w:id="36"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36"/>
    <w:bookmarkStart w:id="37"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40" w:name="method"/>
    <w:p>
      <w:pPr>
        <w:pStyle w:val="Heading1"/>
      </w:pPr>
      <w:r>
        <w:t xml:space="preserve">4. Method</w:t>
      </w:r>
    </w:p>
    <w:bookmarkStart w:id="39"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39"/>
    <w:bookmarkEnd w:id="40"/>
    <w:bookmarkStart w:id="42"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41"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02"/>
        </w:numPr>
      </w:pPr>
      <w:r>
        <w:t xml:space="preserve">semantic identity,</w:t>
      </w:r>
    </w:p>
    <w:p>
      <w:pPr>
        <w:pStyle w:val="Compact"/>
        <w:numPr>
          <w:ilvl w:val="0"/>
          <w:numId w:val="1002"/>
        </w:numPr>
      </w:pPr>
      <w:r>
        <w:t xml:space="preserve">depth order,</w:t>
      </w:r>
    </w:p>
    <w:p>
      <w:pPr>
        <w:pStyle w:val="Compact"/>
        <w:numPr>
          <w:ilvl w:val="0"/>
          <w:numId w:val="1002"/>
        </w:numPr>
      </w:pPr>
      <w:r>
        <w:t xml:space="preserve">soft alpha,</w:t>
      </w:r>
    </w:p>
    <w:p>
      <w:pPr>
        <w:pStyle w:val="Compact"/>
        <w:numPr>
          <w:ilvl w:val="0"/>
          <w:numId w:val="1002"/>
        </w:numPr>
      </w:pPr>
      <w:r>
        <w:t xml:space="preserve">amodal extent,</w:t>
      </w:r>
    </w:p>
    <w:p>
      <w:pPr>
        <w:pStyle w:val="Compact"/>
        <w:numPr>
          <w:ilvl w:val="0"/>
          <w:numId w:val="1002"/>
        </w:numPr>
      </w:pPr>
      <w:r>
        <w:t xml:space="preserve">completion information,</w:t>
      </w:r>
    </w:p>
    <w:p>
      <w:pPr>
        <w:pStyle w:val="Compact"/>
        <w:numPr>
          <w:ilvl w:val="0"/>
          <w:numId w:val="1002"/>
        </w:numPr>
      </w:pPr>
      <w:r>
        <w:t xml:space="preserve">intrinsic appearance,</w:t>
      </w:r>
    </w:p>
    <w:p>
      <w:pPr>
        <w:pStyle w:val="Compact"/>
        <w:numPr>
          <w:ilvl w:val="0"/>
          <w:numId w:val="1002"/>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41"/>
    <w:bookmarkEnd w:id="42"/>
    <w:bookmarkStart w:id="48" w:name="X887c060ffd80eefa950d206ffee0690cd787863"/>
    <w:p>
      <w:pPr>
        <w:pStyle w:val="Heading1"/>
      </w:pPr>
      <w:r>
        <w:t xml:space="preserve">2. Novel component A: Boundary-Weighted Occlusion Graph</w:t>
      </w:r>
    </w:p>
    <w:bookmarkStart w:id="43"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43"/>
    <w:bookmarkStart w:id="44"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03"/>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3"/>
        </w:numPr>
      </w:pPr>
      <w:r>
        <w:t xml:space="preserve">Find the shared / contact boundary region.</w:t>
      </w:r>
    </w:p>
    <w:p>
      <w:pPr>
        <w:pStyle w:val="Compact"/>
        <w:numPr>
          <w:ilvl w:val="0"/>
          <w:numId w:val="1003"/>
        </w:numPr>
      </w:pPr>
      <w:r>
        <w:t xml:space="preserve">Sample predicted depth near that boundary.</w:t>
      </w:r>
    </w:p>
    <w:p>
      <w:pPr>
        <w:pStyle w:val="Compact"/>
        <w:numPr>
          <w:ilvl w:val="0"/>
          <w:numId w:val="1003"/>
        </w:numPr>
      </w:pPr>
      <w:r>
        <w:t xml:space="preserve">Compute robust local depth statistics.</w:t>
      </w:r>
    </w:p>
    <w:p>
      <w:pPr>
        <w:pStyle w:val="Compact"/>
        <w:numPr>
          <w:ilvl w:val="0"/>
          <w:numId w:val="1003"/>
        </w:numPr>
      </w:pPr>
      <w:r>
        <w:t xml:space="preserve">Add a directed edge from the near layer to the far layer, annotated with confidence.</w:t>
      </w:r>
    </w:p>
    <w:bookmarkEnd w:id="44"/>
    <w:bookmarkStart w:id="45"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5"/>
    <w:bookmarkStart w:id="46"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46"/>
    <w:bookmarkStart w:id="47"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47"/>
    <w:bookmarkEnd w:id="48"/>
    <w:bookmarkStart w:id="56"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49"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49"/>
    <w:bookmarkStart w:id="50"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50"/>
    <w:bookmarkStart w:id="51"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51"/>
    <w:bookmarkStart w:id="52" w:name="training-data"/>
    <w:p>
      <w:pPr>
        <w:pStyle w:val="Heading2"/>
      </w:pPr>
      <w:r>
        <w:t xml:space="preserve">Training data</w:t>
      </w:r>
    </w:p>
    <w:p>
      <w:pPr>
        <w:pStyle w:val="FirstParagraph"/>
      </w:pPr>
      <w:r>
        <w:t xml:space="preserve">The implemented source is:</w:t>
      </w:r>
    </w:p>
    <w:p>
      <w:pPr>
        <w:pStyle w:val="Compact"/>
        <w:numPr>
          <w:ilvl w:val="0"/>
          <w:numId w:val="1004"/>
        </w:numPr>
      </w:pPr>
      <w:r>
        <w:t xml:space="preserve">Synthetic-LayerBench, which gives exact z-order by construction.</w:t>
      </w:r>
    </w:p>
    <w:p>
      <w:pPr>
        <w:pStyle w:val="FirstParagraph"/>
      </w:pPr>
      <w:r>
        <w:t xml:space="preserve">RGB-D supervision remains future work, not a claimed completed result.</w:t>
      </w:r>
    </w:p>
    <w:bookmarkEnd w:id="52"/>
    <w:bookmarkStart w:id="53"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53"/>
    <w:bookmarkStart w:id="54"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54"/>
    <w:bookmarkStart w:id="55"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55"/>
    <w:bookmarkEnd w:id="56"/>
    <w:bookmarkStart w:id="59" w:name="Xa8ff29c37577f8ede7ff18ad3fdc98aca927b29"/>
    <w:p>
      <w:pPr>
        <w:pStyle w:val="Heading1"/>
      </w:pPr>
      <w:r>
        <w:t xml:space="preserve">4. Novel component C: Visible-vs-amodal dual masks</w:t>
      </w:r>
    </w:p>
    <w:bookmarkStart w:id="57" w:name="problem-1"/>
    <w:p>
      <w:pPr>
        <w:pStyle w:val="Heading2"/>
      </w:pPr>
      <w:r>
        <w:t xml:space="preserve">Problem</w:t>
      </w:r>
    </w:p>
    <w:p>
      <w:pPr>
        <w:pStyle w:val="FirstParagraph"/>
      </w:pPr>
      <w:r>
        <w:t xml:space="preserve">A visible (modal) mask only contains observed pixels. Editing needs the hidden extent too.</w:t>
      </w:r>
    </w:p>
    <w:bookmarkEnd w:id="57"/>
    <w:bookmarkStart w:id="58"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p>
      <w:r>
        <w:pict>
          <v:rect style="width:0;height:1.5pt" o:hralign="center" o:hrstd="t" o:hr="t"/>
        </w:pict>
      </w:r>
    </w:p>
    <w:bookmarkEnd w:id="58"/>
    <w:bookmarkEnd w:id="59"/>
    <w:bookmarkStart w:id="68" w:name="Xe66e937283ff7c63d3e86966cafdbde3bcb950f"/>
    <w:p>
      <w:pPr>
        <w:pStyle w:val="Heading1"/>
      </w:pPr>
      <w:r>
        <w:t xml:space="preserve">5. Novel component D: Frontier candidate bank and self-evaluation</w:t>
      </w:r>
    </w:p>
    <w:bookmarkStart w:id="60" w:name="problem-2"/>
    <w:p>
      <w:pPr>
        <w:pStyle w:val="Heading2"/>
      </w:pPr>
      <w:r>
        <w:t xml:space="preserve">Problem</w:t>
      </w:r>
    </w:p>
    <w:p>
      <w:pPr>
        <w:pStyle w:val="FirstParagraph"/>
      </w:pPr>
      <w:r>
        <w:t xml:space="preserve">Once the repo included native LayerForge runs, recursive peeling, and fair Qwen hybrids, the next question was no longer</w:t>
      </w:r>
      <w:r>
        <w:t xml:space="preserve"> </w:t>
      </w:r>
      <w:r>
        <w:t xml:space="preserve">“which single pipeline is the method?”</w:t>
      </w:r>
      <w:r>
        <w:t xml:space="preserve"> </w:t>
      </w:r>
      <w:r>
        <w:t xml:space="preserve">The real question became:</w:t>
      </w:r>
    </w:p>
    <w:p>
      <w:pPr>
        <w:pStyle w:val="SourceCode"/>
      </w:pPr>
      <w:r>
        <w:rPr>
          <w:rStyle w:val="VerbatimChar"/>
        </w:rPr>
        <w:t xml:space="preserve">which decomposition should be trusted for this image?</w:t>
      </w:r>
    </w:p>
    <w:p>
      <w:pPr>
        <w:pStyle w:val="FirstParagraph"/>
      </w:pPr>
      <w:r>
        <w:t xml:space="preserve">That is a different problem from segmentation or ordering alone. Some images benefit from a compact generative RGBA stack. Others benefit from the larger but more explicit native graph. Others are better handled by recursive peeling because the iterative residuals expose hidden structure.</w:t>
      </w:r>
    </w:p>
    <w:bookmarkEnd w:id="60"/>
    <w:bookmarkStart w:id="61" w:name="proposed-solution-1"/>
    <w:p>
      <w:pPr>
        <w:pStyle w:val="Heading2"/>
      </w:pPr>
      <w:r>
        <w:t xml:space="preserve">Proposed solution</w:t>
      </w:r>
    </w:p>
    <w:p>
      <w:pPr>
        <w:pStyle w:val="FirstParagraph"/>
      </w:pPr>
      <w:r>
        <w:t xml:space="preserve">Instead of forcing one path, LayerForge-X now runs a</w:t>
      </w:r>
      <w:r>
        <w:t xml:space="preserve"> </w:t>
      </w:r>
      <w:r>
        <w:rPr>
          <w:b/>
          <w:bCs/>
        </w:rPr>
        <w:t xml:space="preserve">frontier candidate bank</w:t>
      </w:r>
      <w:r>
        <w:t xml:space="preserve"> </w:t>
      </w:r>
      <w:r>
        <w:t xml:space="preserve">and selects the best editable representation per image using measured evidence.</w:t>
      </w:r>
    </w:p>
    <w:p>
      <w:pPr>
        <w:pStyle w:val="BodyText"/>
      </w:pPr>
      <w:r>
        <w:t xml:space="preserve">Current candidate families in the repo:</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implementation lives in:</w:t>
      </w:r>
    </w:p>
    <w:p>
      <w:pPr>
        <w:pStyle w:val="Compact"/>
        <w:numPr>
          <w:ilvl w:val="0"/>
          <w:numId w:val="1005"/>
        </w:numPr>
      </w:pPr>
      <w:r>
        <w:rPr>
          <w:rStyle w:val="VerbatimChar"/>
        </w:rPr>
        <w:t xml:space="preserve">src/layerforge/proposals.py</w:t>
      </w:r>
    </w:p>
    <w:p>
      <w:pPr>
        <w:pStyle w:val="Compact"/>
        <w:numPr>
          <w:ilvl w:val="0"/>
          <w:numId w:val="1005"/>
        </w:numPr>
      </w:pPr>
      <w:r>
        <w:rPr>
          <w:rStyle w:val="VerbatimChar"/>
        </w:rPr>
        <w:t xml:space="preserve">src/layerforge/self_eval.py</w:t>
      </w:r>
    </w:p>
    <w:p>
      <w:pPr>
        <w:pStyle w:val="Compact"/>
        <w:numPr>
          <w:ilvl w:val="0"/>
          <w:numId w:val="1005"/>
        </w:numPr>
      </w:pPr>
      <w:r>
        <w:rPr>
          <w:rStyle w:val="VerbatimChar"/>
        </w:rPr>
        <w:t xml:space="preserve">scripts/run_frontier_comparison.py</w:t>
      </w:r>
    </w:p>
    <w:bookmarkEnd w:id="61"/>
    <w:bookmarkStart w:id="62" w:name="candidate-scoring"/>
    <w:p>
      <w:pPr>
        <w:pStyle w:val="Heading2"/>
      </w:pPr>
      <w:r>
        <w:t xml:space="preserve">Candidate scoring</w:t>
      </w:r>
    </w:p>
    <w:p>
      <w:pPr>
        <w:pStyle w:val="FirstParagraph"/>
      </w:pPr>
      <w:r>
        <w:t xml:space="preserve">Each candidate is scored after it actually runs. The current self-evaluation stage is intentionally explicit rather than pretending to be a learned black box.</w:t>
      </w:r>
    </w:p>
    <w:p>
      <w:pPr>
        <w:pStyle w:val="BodyText"/>
      </w:pPr>
      <w:r>
        <w:t xml:space="preserve">The score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implemented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where:</w:t>
      </w:r>
    </w:p>
    <w:p>
      <w:pPr>
        <w:pStyle w:val="Compact"/>
        <w:numPr>
          <w:ilvl w:val="0"/>
          <w:numId w:val="1006"/>
        </w:numPr>
      </w:pPr>
      <w:r>
        <w:rPr>
          <w:rStyle w:val="VerbatimChar"/>
        </w:rPr>
        <w:t xml:space="preserve">recomposition_fidelity</w:t>
      </w:r>
      <w:r>
        <w:t xml:space="preserve"> </w:t>
      </w:r>
      <w:r>
        <w:t xml:space="preserve">is computed from normalised PSNR and SSIM;</w:t>
      </w:r>
    </w:p>
    <w:p>
      <w:pPr>
        <w:pStyle w:val="Compact"/>
        <w:numPr>
          <w:ilvl w:val="0"/>
          <w:numId w:val="1006"/>
        </w:numPr>
      </w:pPr>
      <w:r>
        <w:rPr>
          <w:rStyle w:val="VerbatimChar"/>
        </w:rPr>
        <w:t xml:space="preserve">edit_preservation</w:t>
      </w:r>
      <w:r>
        <w:t xml:space="preserve"> </w:t>
      </w:r>
      <w:r>
        <w:t xml:space="preserve">rewards remove/move/recolor responses that affect the target layer while preserving the rest of the frame;</w:t>
      </w:r>
    </w:p>
    <w:p>
      <w:pPr>
        <w:pStyle w:val="Compact"/>
        <w:numPr>
          <w:ilvl w:val="0"/>
          <w:numId w:val="1006"/>
        </w:numPr>
      </w:pPr>
      <w:r>
        <w:rPr>
          <w:rStyle w:val="VerbatimChar"/>
        </w:rPr>
        <w:t xml:space="preserve">semantic_separation</w:t>
      </w:r>
      <w:r>
        <w:t xml:space="preserve"> </w:t>
      </w:r>
      <w:r>
        <w:t xml:space="preserve">rewards foreground coverage without collapsing everything into one dominant layer;</w:t>
      </w:r>
    </w:p>
    <w:p>
      <w:pPr>
        <w:pStyle w:val="Compact"/>
        <w:numPr>
          <w:ilvl w:val="0"/>
          <w:numId w:val="1006"/>
        </w:numPr>
      </w:pPr>
      <w:r>
        <w:rPr>
          <w:rStyle w:val="VerbatimChar"/>
        </w:rPr>
        <w:t xml:space="preserve">alpha_quality</w:t>
      </w:r>
      <w:r>
        <w:t xml:space="preserve"> </w:t>
      </w:r>
      <w:r>
        <w:t xml:space="preserve">favours soft, non-binary alpha mattes when the data supports them;</w:t>
      </w:r>
    </w:p>
    <w:p>
      <w:pPr>
        <w:pStyle w:val="Compact"/>
        <w:numPr>
          <w:ilvl w:val="0"/>
          <w:numId w:val="1006"/>
        </w:numPr>
      </w:pPr>
      <w:r>
        <w:rPr>
          <w:rStyle w:val="VerbatimChar"/>
        </w:rPr>
        <w:t xml:space="preserve">graph_confidence</w:t>
      </w:r>
      <w:r>
        <w:t xml:space="preserve"> </w:t>
      </w:r>
      <w:r>
        <w:t xml:space="preserve">rewards explicit graph output, ordered layers, and occlusion edges;</w:t>
      </w:r>
    </w:p>
    <w:p>
      <w:pPr>
        <w:pStyle w:val="Compact"/>
        <w:numPr>
          <w:ilvl w:val="0"/>
          <w:numId w:val="1006"/>
        </w:numPr>
      </w:pPr>
      <w:r>
        <w:rPr>
          <w:rStyle w:val="VerbatimChar"/>
        </w:rPr>
        <w:t xml:space="preserve">runtime</w:t>
      </w:r>
      <w:r>
        <w:t xml:space="preserve"> </w:t>
      </w:r>
      <w:r>
        <w:t xml:space="preserve">is a light preference for cheaper candidates when quality is otherwise close.</w:t>
      </w:r>
    </w:p>
    <w:bookmarkEnd w:id="62"/>
    <w:bookmarkStart w:id="63" w:name="why-this-matters"/>
    <w:p>
      <w:pPr>
        <w:pStyle w:val="Heading2"/>
      </w:pPr>
      <w:r>
        <w:t xml:space="preserve">Why this matters</w:t>
      </w:r>
    </w:p>
    <w:p>
      <w:pPr>
        <w:pStyle w:val="FirstParagraph"/>
      </w:pPr>
      <w:r>
        <w:t xml:space="preserve">This changes the repo from:</w:t>
      </w:r>
    </w:p>
    <w:p>
      <w:pPr>
        <w:pStyle w:val="SourceCode"/>
      </w:pPr>
      <w:r>
        <w:rPr>
          <w:rStyle w:val="VerbatimChar"/>
        </w:rPr>
        <w:t xml:space="preserve">one pipeline with a few toggles</w:t>
      </w:r>
    </w:p>
    <w:p>
      <w:pPr>
        <w:pStyle w:val="FirstParagraph"/>
      </w:pPr>
      <w:r>
        <w:t xml:space="preserve">to:</w:t>
      </w:r>
    </w:p>
    <w:p>
      <w:pPr>
        <w:pStyle w:val="SourceCode"/>
      </w:pPr>
      <w:r>
        <w:rPr>
          <w:rStyle w:val="VerbatimChar"/>
        </w:rPr>
        <w:t xml:space="preserve">a self-evaluating layered-representation system</w:t>
      </w:r>
    </w:p>
    <w:p>
      <w:pPr>
        <w:pStyle w:val="FirstParagraph"/>
      </w:pPr>
      <w:r>
        <w:t xml:space="preserve">That is a more current framing for the project because the frontier is no longer about one monolithic decomposition method. It is about combining strong proposal sources and selecting the best editable scene representation with evidence.</w:t>
      </w:r>
    </w:p>
    <w:bookmarkEnd w:id="63"/>
    <w:bookmarkStart w:id="64" w:name="claim-2"/>
    <w:p>
      <w:pPr>
        <w:pStyle w:val="Heading2"/>
      </w:pPr>
      <w:r>
        <w:t xml:space="preserve">Claim</w:t>
      </w:r>
    </w:p>
    <w:p>
      <w:pPr>
        <w:pStyle w:val="BlockText"/>
      </w:pPr>
      <w:r>
        <w:t xml:space="preserve">We extend LayerForge-X with a frontier candidate bank and a self-evaluation stage that compares native, generative, hybrid, and recursive decompositions, then selects the most useful editable representation per image using measured fidelity, editability, semantic separation, graph confidence, alpha quality, and runtime signals.</w:t>
      </w:r>
    </w:p>
    <w:bookmarkEnd w:id="64"/>
    <w:bookmarkStart w:id="65"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07"/>
        </w:numPr>
      </w:pPr>
      <w:r>
        <w:t xml:space="preserve">Detect occlusion boundaries using nearby layers and depth discontinuities.</w:t>
      </w:r>
    </w:p>
    <w:p>
      <w:pPr>
        <w:pStyle w:val="Compact"/>
        <w:numPr>
          <w:ilvl w:val="0"/>
          <w:numId w:val="1007"/>
        </w:numPr>
      </w:pPr>
      <w:r>
        <w:t xml:space="preserve">Expand the mask only behind closer occluders.</w:t>
      </w:r>
    </w:p>
    <w:p>
      <w:pPr>
        <w:pStyle w:val="Compact"/>
        <w:numPr>
          <w:ilvl w:val="0"/>
          <w:numId w:val="1007"/>
        </w:numPr>
      </w:pPr>
      <w:r>
        <w:t xml:space="preserve">Apply class-dependent expansion limits (e.g. don’t let a person’s amodal mask grow indefinitely).</w:t>
      </w:r>
    </w:p>
    <w:p>
      <w:pPr>
        <w:pStyle w:val="Compact"/>
        <w:numPr>
          <w:ilvl w:val="0"/>
          <w:numId w:val="1007"/>
        </w:numPr>
      </w:pPr>
      <w:r>
        <w:t xml:space="preserve">Smooth the resulting amodal mask.</w:t>
      </w:r>
    </w:p>
    <w:p>
      <w:pPr>
        <w:pStyle w:val="Compact"/>
        <w:numPr>
          <w:ilvl w:val="0"/>
          <w:numId w:val="1007"/>
        </w:numPr>
      </w:pPr>
      <w:r>
        <w:t xml:space="preserve">Inpaint hidden colour inside</w:t>
      </w:r>
      <w:r>
        <w:t xml:space="preserve"> </w:t>
      </w:r>
      <w:r>
        <w:rPr>
          <w:rStyle w:val="VerbatimChar"/>
        </w:rPr>
        <w:t xml:space="preserve">M_hidden</w:t>
      </w:r>
      <w:r>
        <w:t xml:space="preserve">.</w:t>
      </w:r>
    </w:p>
    <w:bookmarkEnd w:id="65"/>
    <w:bookmarkStart w:id="66" w:name="strong-method"/>
    <w:p>
      <w:pPr>
        <w:pStyle w:val="Heading2"/>
      </w:pPr>
      <w:r>
        <w:t xml:space="preserve">Strong method</w:t>
      </w:r>
    </w:p>
    <w:p>
      <w:pPr>
        <w:pStyle w:val="FirstParagraph"/>
      </w:pPr>
      <w:r>
        <w:t xml:space="preserve">Plug in SAMEO or another amodal-SAM-style backend when compute and weights are available.</w:t>
      </w:r>
    </w:p>
    <w:bookmarkEnd w:id="66"/>
    <w:bookmarkStart w:id="67" w:name="claim-3"/>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67"/>
    <w:bookmarkEnd w:id="68"/>
    <w:bookmarkStart w:id="73" w:name="Xd4cad0634318010a78a074b4ccee223bc3997ef"/>
    <w:p>
      <w:pPr>
        <w:pStyle w:val="Heading1"/>
      </w:pPr>
      <w:r>
        <w:t xml:space="preserve">5. Novel component D: Graph-guided recursive semantic peeling</w:t>
      </w:r>
    </w:p>
    <w:bookmarkStart w:id="69" w:name="problem-3"/>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69"/>
    <w:bookmarkStart w:id="70"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70"/>
    <w:bookmarkStart w:id="71"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71"/>
    <w:bookmarkStart w:id="72" w:name="claim-4"/>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72"/>
    <w:bookmarkEnd w:id="73"/>
    <w:bookmarkStart w:id="78" w:name="X42bb7e26e85d0327ed58ac9aed2bd09c0790612"/>
    <w:p>
      <w:pPr>
        <w:pStyle w:val="Heading1"/>
      </w:pPr>
      <w:r>
        <w:t xml:space="preserve">6. Novel component E: Associated-effect layers</w:t>
      </w:r>
    </w:p>
    <w:bookmarkStart w:id="74" w:name="problem-4"/>
    <w:p>
      <w:pPr>
        <w:pStyle w:val="Heading2"/>
      </w:pPr>
      <w:r>
        <w:t xml:space="preserve">Problem</w:t>
      </w:r>
    </w:p>
    <w:p>
      <w:pPr>
        <w:pStyle w:val="FirstParagraph"/>
      </w:pPr>
      <w:r>
        <w:t xml:space="preserve">Moving an object without its shadow or reflection looks fake. Standard segmentation ignores these effects entirely.</w:t>
      </w:r>
    </w:p>
    <w:bookmarkEnd w:id="74"/>
    <w:bookmarkStart w:id="75"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75"/>
    <w:bookmarkStart w:id="76"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08"/>
        </w:numPr>
      </w:pPr>
      <w:r>
        <w:t xml:space="preserve">Find pixels near the bottom or contact region of the object mask.</w:t>
      </w:r>
    </w:p>
    <w:p>
      <w:pPr>
        <w:pStyle w:val="Compact"/>
        <w:numPr>
          <w:ilvl w:val="0"/>
          <w:numId w:val="1008"/>
        </w:numPr>
      </w:pPr>
      <w:r>
        <w:t xml:space="preserve">Look for connected darkened regions relative to local background.</w:t>
      </w:r>
    </w:p>
    <w:p>
      <w:pPr>
        <w:pStyle w:val="Compact"/>
        <w:numPr>
          <w:ilvl w:val="0"/>
          <w:numId w:val="1008"/>
        </w:numPr>
      </w:pPr>
      <w:r>
        <w:t xml:space="preserve">Restrict the expansion by direction and distance from the object.</w:t>
      </w:r>
    </w:p>
    <w:p>
      <w:pPr>
        <w:pStyle w:val="Compact"/>
        <w:numPr>
          <w:ilvl w:val="0"/>
          <w:numId w:val="1008"/>
        </w:numPr>
      </w:pPr>
      <w:r>
        <w:t xml:space="preserve">Export as a low-alpha effect layer.</w:t>
      </w:r>
    </w:p>
    <w:bookmarkEnd w:id="76"/>
    <w:bookmarkStart w:id="77" w:name="claim-5"/>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77"/>
    <w:bookmarkEnd w:id="78"/>
    <w:bookmarkStart w:id="82" w:name="X05035b808dd193460c012b45b7bb18cdb607fb6"/>
    <w:p>
      <w:pPr>
        <w:pStyle w:val="Heading1"/>
      </w:pPr>
      <w:r>
        <w:t xml:space="preserve">7. Novel component F: Layer-local intrinsic decomposition</w:t>
      </w:r>
    </w:p>
    <w:bookmarkStart w:id="79" w:name="problem-5"/>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79"/>
    <w:bookmarkStart w:id="80"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80"/>
    <w:bookmarkStart w:id="81" w:name="claim-6"/>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81"/>
    <w:bookmarkEnd w:id="82"/>
    <w:bookmarkStart w:id="92" w:name="full-pipeline"/>
    <w:p>
      <w:pPr>
        <w:pStyle w:val="Heading1"/>
      </w:pPr>
      <w:r>
        <w:t xml:space="preserve">8. Full pipeline</w:t>
      </w:r>
    </w:p>
    <w:bookmarkStart w:id="83"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83"/>
    <w:bookmarkStart w:id="84"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84"/>
    <w:bookmarkStart w:id="85"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85"/>
    <w:bookmarkStart w:id="86"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86"/>
    <w:bookmarkStart w:id="87"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87"/>
    <w:bookmarkStart w:id="88" w:name="step-6-amodal-expansion"/>
    <w:p>
      <w:pPr>
        <w:pStyle w:val="Heading2"/>
      </w:pPr>
      <w:r>
        <w:t xml:space="preserve">Step 6: Amodal expansion</w:t>
      </w:r>
    </w:p>
    <w:p>
      <w:pPr>
        <w:pStyle w:val="FirstParagraph"/>
      </w:pPr>
      <w:r>
        <w:t xml:space="preserve">Estimate full object masks and identify hidden regions.</w:t>
      </w:r>
    </w:p>
    <w:bookmarkEnd w:id="88"/>
    <w:bookmarkStart w:id="89"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89"/>
    <w:bookmarkStart w:id="90" w:name="step-8-intrinsic-split"/>
    <w:p>
      <w:pPr>
        <w:pStyle w:val="Heading2"/>
      </w:pPr>
      <w:r>
        <w:t xml:space="preserve">Step 8: Intrinsic split</w:t>
      </w:r>
    </w:p>
    <w:p>
      <w:pPr>
        <w:pStyle w:val="FirstParagraph"/>
      </w:pPr>
      <w:r>
        <w:t xml:space="preserve">Run the Retinex fallback or a Marigold-IID-style model.</w:t>
      </w:r>
    </w:p>
    <w:bookmarkEnd w:id="90"/>
    <w:bookmarkStart w:id="91"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91"/>
    <w:bookmarkEnd w:id="92"/>
    <w:bookmarkStart w:id="94"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93" w:name="contributions-1"/>
    <w:p>
      <w:pPr>
        <w:pStyle w:val="Heading2"/>
      </w:pPr>
      <w:r>
        <w:t xml:space="preserve">Contributions</w:t>
      </w:r>
    </w:p>
    <w:p>
      <w:pPr>
        <w:numPr>
          <w:ilvl w:val="0"/>
          <w:numId w:val="1009"/>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09"/>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09"/>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09"/>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09"/>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09"/>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93"/>
    <w:bookmarkEnd w:id="94"/>
    <w:bookmarkStart w:id="95"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95"/>
    <w:bookmarkStart w:id="96"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96"/>
    <w:bookmarkStart w:id="99" w:name="best-title-and-abstract"/>
    <w:p>
      <w:pPr>
        <w:pStyle w:val="Heading1"/>
      </w:pPr>
      <w:r>
        <w:t xml:space="preserve">12. Best title and abstract</w:t>
      </w:r>
    </w:p>
    <w:bookmarkStart w:id="97" w:name="title"/>
    <w:p>
      <w:pPr>
        <w:pStyle w:val="Heading2"/>
      </w:pPr>
      <w:r>
        <w:t xml:space="preserve">Title</w:t>
      </w:r>
    </w:p>
    <w:p>
      <w:pPr>
        <w:pStyle w:val="FirstParagraph"/>
      </w:pPr>
      <w:r>
        <w:rPr>
          <w:b/>
          <w:bCs/>
        </w:rPr>
        <w:t xml:space="preserve">LayerForge-X: Depth-Aware Amodal Layer Graphs from a Single RGB Image</w:t>
      </w:r>
    </w:p>
    <w:bookmarkEnd w:id="97"/>
    <w:bookmarkStart w:id="98" w:name="abstract-1"/>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98"/>
    <w:bookmarkEnd w:id="99"/>
    <w:bookmarkStart w:id="109" w:name="method-section-skeleton"/>
    <w:p>
      <w:pPr>
        <w:pStyle w:val="Heading1"/>
      </w:pPr>
      <w:r>
        <w:t xml:space="preserve">13. Method section skeleton</w:t>
      </w:r>
    </w:p>
    <w:bookmarkStart w:id="100"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100"/>
    <w:bookmarkStart w:id="101" w:name="layer-proposal"/>
    <w:p>
      <w:pPr>
        <w:pStyle w:val="Heading2"/>
      </w:pPr>
      <w:r>
        <w:t xml:space="preserve">4.2 Layer proposal</w:t>
      </w:r>
    </w:p>
    <w:p>
      <w:pPr>
        <w:pStyle w:val="FirstParagraph"/>
      </w:pPr>
      <w:r>
        <w:t xml:space="preserve">Panoptic segmentation and open-vocabulary alternatives; pick per-config.</w:t>
      </w:r>
    </w:p>
    <w:bookmarkEnd w:id="101"/>
    <w:bookmarkStart w:id="102" w:name="depth-and-geometry"/>
    <w:p>
      <w:pPr>
        <w:pStyle w:val="Heading2"/>
      </w:pPr>
      <w:r>
        <w:t xml:space="preserve">4.3 Depth and geometry</w:t>
      </w:r>
    </w:p>
    <w:p>
      <w:pPr>
        <w:pStyle w:val="FirstParagraph"/>
      </w:pPr>
      <w:r>
        <w:t xml:space="preserve">Monocular depth estimation and its normalisation.</w:t>
      </w:r>
    </w:p>
    <w:bookmarkEnd w:id="102"/>
    <w:bookmarkStart w:id="103" w:name="occlusion-graph"/>
    <w:p>
      <w:pPr>
        <w:pStyle w:val="Heading2"/>
      </w:pPr>
      <w:r>
        <w:t xml:space="preserve">4.4 Occlusion graph</w:t>
      </w:r>
    </w:p>
    <w:p>
      <w:pPr>
        <w:pStyle w:val="FirstParagraph"/>
      </w:pPr>
      <w:r>
        <w:t xml:space="preserve">Boundary-weighted edge construction; the key algorithmic section.</w:t>
      </w:r>
    </w:p>
    <w:bookmarkEnd w:id="103"/>
    <w:bookmarkStart w:id="104" w:name="alpha-refinement"/>
    <w:p>
      <w:pPr>
        <w:pStyle w:val="Heading2"/>
      </w:pPr>
      <w:r>
        <w:t xml:space="preserve">4.5 Alpha refinement</w:t>
      </w:r>
    </w:p>
    <w:p>
      <w:pPr>
        <w:pStyle w:val="FirstParagraph"/>
      </w:pPr>
      <w:r>
        <w:t xml:space="preserve">Hard masks, feathering, gradient-aware alpha, and an optional matting backend.</w:t>
      </w:r>
    </w:p>
    <w:bookmarkEnd w:id="104"/>
    <w:bookmarkStart w:id="105" w:name="amodal-masks-and-completion"/>
    <w:p>
      <w:pPr>
        <w:pStyle w:val="Heading2"/>
      </w:pPr>
      <w:r>
        <w:t xml:space="preserve">4.6 Amodal masks and completion</w:t>
      </w:r>
    </w:p>
    <w:p>
      <w:pPr>
        <w:pStyle w:val="FirstParagraph"/>
      </w:pPr>
      <w:r>
        <w:t xml:space="preserve">Visible / amodal distinction, hidden-region definition, and inpainting.</w:t>
      </w:r>
    </w:p>
    <w:bookmarkEnd w:id="105"/>
    <w:bookmarkStart w:id="106"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106"/>
    <w:bookmarkStart w:id="107" w:name="intrinsic-decomposition"/>
    <w:p>
      <w:pPr>
        <w:pStyle w:val="Heading2"/>
      </w:pPr>
      <w:r>
        <w:t xml:space="preserve">4.8 Intrinsic decomposition</w:t>
      </w:r>
    </w:p>
    <w:p>
      <w:pPr>
        <w:pStyle w:val="FirstParagraph"/>
      </w:pPr>
      <w:r>
        <w:t xml:space="preserve">Albedo and shading export, per layer.</w:t>
      </w:r>
    </w:p>
    <w:bookmarkEnd w:id="107"/>
    <w:bookmarkStart w:id="108" w:name="rendering-and-export"/>
    <w:p>
      <w:pPr>
        <w:pStyle w:val="Heading2"/>
      </w:pPr>
      <w:r>
        <w:t xml:space="preserve">4.9 Rendering and export</w:t>
      </w:r>
    </w:p>
    <w:p>
      <w:pPr>
        <w:pStyle w:val="FirstParagraph"/>
      </w:pPr>
      <w:r>
        <w:t xml:space="preserve">Alpha compositing and the set of output files.</w:t>
      </w:r>
    </w:p>
    <w:bookmarkEnd w:id="108"/>
    <w:bookmarkEnd w:id="109"/>
    <w:bookmarkStart w:id="111" w:name="experiments-and-evaluation-protocol"/>
    <w:p>
      <w:pPr>
        <w:pStyle w:val="Heading1"/>
      </w:pPr>
      <w:r>
        <w:t xml:space="preserve">5. Experiments and Evaluation Protocol</w:t>
      </w:r>
    </w:p>
    <w:bookmarkStart w:id="11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10"/>
        </w:numPr>
      </w:pPr>
      <w:r>
        <w:t xml:space="preserve">Are the layer regions semantically correct?</w:t>
      </w:r>
    </w:p>
    <w:p>
      <w:pPr>
        <w:pStyle w:val="Compact"/>
        <w:numPr>
          <w:ilvl w:val="0"/>
          <w:numId w:val="1010"/>
        </w:numPr>
      </w:pPr>
      <w:r>
        <w:t xml:space="preserve">Is the near-to-far depth and occlusion order correct?</w:t>
      </w:r>
    </w:p>
    <w:p>
      <w:pPr>
        <w:pStyle w:val="Compact"/>
        <w:numPr>
          <w:ilvl w:val="0"/>
          <w:numId w:val="1010"/>
        </w:numPr>
      </w:pPr>
      <w:r>
        <w:t xml:space="preserve">Do the layers recompose back into the original image?</w:t>
      </w:r>
    </w:p>
    <w:p>
      <w:pPr>
        <w:pStyle w:val="Compact"/>
        <w:numPr>
          <w:ilvl w:val="0"/>
          <w:numId w:val="1010"/>
        </w:numPr>
      </w:pPr>
      <w:r>
        <w:t xml:space="preserve">Are alpha boundaries usable for editing?</w:t>
      </w:r>
    </w:p>
    <w:p>
      <w:pPr>
        <w:pStyle w:val="Compact"/>
        <w:numPr>
          <w:ilvl w:val="0"/>
          <w:numId w:val="1010"/>
        </w:numPr>
      </w:pPr>
      <w:r>
        <w:t xml:space="preserve">Are hidden and background regions completed plausibly?</w:t>
      </w:r>
    </w:p>
    <w:p>
      <w:pPr>
        <w:pStyle w:val="Compact"/>
        <w:numPr>
          <w:ilvl w:val="0"/>
          <w:numId w:val="1010"/>
        </w:numPr>
      </w:pPr>
      <w:r>
        <w:t xml:space="preserve">Does the intrinsic split behave sensibly?</w:t>
      </w:r>
    </w:p>
    <w:p>
      <w:pPr>
        <w:pStyle w:val="Compact"/>
        <w:numPr>
          <w:ilvl w:val="0"/>
          <w:numId w:val="1010"/>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source of truth for reported numbers.</w:t>
      </w:r>
      <w:r>
        <w:t xml:space="preserve"> </w:t>
      </w:r>
      <w:r>
        <w:rPr>
          <w:rStyle w:val="VerbatimChar"/>
        </w:rPr>
        <w:t xml:space="preserve">docs/RESULTS_SUMMARY_CURRENT.md</w:t>
      </w:r>
      <w:r>
        <w:t xml:space="preserve"> </w:t>
      </w:r>
      <w:r>
        <w:t xml:space="preserve">is the human-readable bridge to those artifacts.</w:t>
      </w:r>
    </w:p>
    <w:p>
      <w:r>
        <w:pict>
          <v:rect style="width:0;height:1.5pt" o:hralign="center" o:hrstd="t" o:hr="t"/>
        </w:pict>
      </w:r>
    </w:p>
    <w:bookmarkEnd w:id="110"/>
    <w:bookmarkEnd w:id="111"/>
    <w:bookmarkStart w:id="118" w:name="X7a87aa1dde06681bd6d7c1618e0fa5e1bc532e2"/>
    <w:p>
      <w:pPr>
        <w:pStyle w:val="Heading1"/>
      </w:pPr>
      <w:r>
        <w:t xml:space="preserve">Track A: Modal semantic / panoptic segmentation</w:t>
      </w:r>
    </w:p>
    <w:bookmarkStart w:id="112" w:name="datasets"/>
    <w:p>
      <w:pPr>
        <w:pStyle w:val="Heading2"/>
      </w:pPr>
      <w:r>
        <w:t xml:space="preserve">Datasets</w:t>
      </w:r>
    </w:p>
    <w:p>
      <w:pPr>
        <w:pStyle w:val="Compact"/>
        <w:numPr>
          <w:ilvl w:val="0"/>
          <w:numId w:val="1011"/>
        </w:numPr>
      </w:pPr>
      <w:r>
        <w:rPr>
          <w:b/>
          <w:bCs/>
        </w:rPr>
        <w:t xml:space="preserve">COCO Panoptic</w:t>
      </w:r>
      <w:r>
        <w:t xml:space="preserve"> </w:t>
      </w:r>
      <w:r>
        <w:t xml:space="preserve">for common objects and stuff.</w:t>
      </w:r>
    </w:p>
    <w:p>
      <w:pPr>
        <w:pStyle w:val="Compact"/>
        <w:numPr>
          <w:ilvl w:val="0"/>
          <w:numId w:val="1011"/>
        </w:numPr>
      </w:pPr>
      <w:r>
        <w:rPr>
          <w:b/>
          <w:bCs/>
        </w:rPr>
        <w:t xml:space="preserve">ADE20K</w:t>
      </w:r>
      <w:r>
        <w:t xml:space="preserve"> </w:t>
      </w:r>
      <w:r>
        <w:t xml:space="preserve">for dense scene parsing and a broader set of stuff classes.</w:t>
      </w:r>
    </w:p>
    <w:p>
      <w:pPr>
        <w:pStyle w:val="Compact"/>
        <w:numPr>
          <w:ilvl w:val="0"/>
          <w:numId w:val="1011"/>
        </w:numPr>
      </w:pPr>
      <w:r>
        <w:t xml:space="preserve">Optional: a small hand-labelled project test set for whichever domains the demos lean on.</w:t>
      </w:r>
    </w:p>
    <w:bookmarkEnd w:id="112"/>
    <w:bookmarkStart w:id="115" w:name="metrics"/>
    <w:p>
      <w:pPr>
        <w:pStyle w:val="Heading2"/>
      </w:pPr>
      <w:r>
        <w:t xml:space="preserve">Metrics</w:t>
      </w:r>
    </w:p>
    <w:bookmarkStart w:id="11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113"/>
    <w:bookmarkStart w:id="11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114"/>
    <w:bookmarkEnd w:id="115"/>
    <w:bookmarkStart w:id="11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116"/>
    <w:bookmarkStart w:id="11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12"/>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12"/>
        </w:numPr>
      </w:pPr>
      <w:r>
        <w:t xml:space="preserve">PQ/SQ/RQ stay as the report-template target if a full panoptic evaluator is added later;</w:t>
      </w:r>
    </w:p>
    <w:p>
      <w:pPr>
        <w:pStyle w:val="Compact"/>
        <w:numPr>
          <w:ilvl w:val="0"/>
          <w:numId w:val="1012"/>
        </w:numPr>
      </w:pPr>
      <w:r>
        <w:t xml:space="preserve">do not relabel the current JSON summaries as PQ.</w:t>
      </w:r>
    </w:p>
    <w:p>
      <w:r>
        <w:pict>
          <v:rect style="width:0;height:1.5pt" o:hralign="center" o:hrstd="t" o:hr="t"/>
        </w:pict>
      </w:r>
    </w:p>
    <w:bookmarkEnd w:id="117"/>
    <w:bookmarkEnd w:id="118"/>
    <w:bookmarkStart w:id="128" w:name="X9611b6e4d697ea7334b585b246db2fe47091bb5"/>
    <w:p>
      <w:pPr>
        <w:pStyle w:val="Heading1"/>
      </w:pPr>
      <w:r>
        <w:t xml:space="preserve">Track B: Depth-order and occlusion-graph quality</w:t>
      </w:r>
    </w:p>
    <w:bookmarkStart w:id="119" w:name="why-this-matters-1"/>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119"/>
    <w:bookmarkStart w:id="120" w:name="datasets-1"/>
    <w:p>
      <w:pPr>
        <w:pStyle w:val="Heading2"/>
      </w:pPr>
      <w:r>
        <w:t xml:space="preserve">Datasets</w:t>
      </w:r>
    </w:p>
    <w:p>
      <w:pPr>
        <w:pStyle w:val="Compact"/>
        <w:numPr>
          <w:ilvl w:val="0"/>
          <w:numId w:val="1013"/>
        </w:numPr>
      </w:pPr>
      <w:r>
        <w:rPr>
          <w:b/>
          <w:bCs/>
        </w:rPr>
        <w:t xml:space="preserve">Synthetic-LayerBench</w:t>
      </w:r>
      <w:r>
        <w:t xml:space="preserve">: generated composites with known z-order.</w:t>
      </w:r>
    </w:p>
    <w:p>
      <w:pPr>
        <w:pStyle w:val="Compact"/>
        <w:numPr>
          <w:ilvl w:val="0"/>
          <w:numId w:val="1013"/>
        </w:numPr>
      </w:pPr>
      <w:r>
        <w:rPr>
          <w:b/>
          <w:bCs/>
        </w:rPr>
        <w:t xml:space="preserve">NYU Depth V2</w:t>
      </w:r>
      <w:r>
        <w:t xml:space="preserve">: indoor RGB-D scenes with object and instance labels.</w:t>
      </w:r>
    </w:p>
    <w:p>
      <w:pPr>
        <w:pStyle w:val="Compact"/>
        <w:numPr>
          <w:ilvl w:val="0"/>
          <w:numId w:val="1013"/>
        </w:numPr>
      </w:pPr>
      <w:r>
        <w:rPr>
          <w:b/>
          <w:bCs/>
        </w:rPr>
        <w:t xml:space="preserve">DIODE</w:t>
      </w:r>
      <w:r>
        <w:t xml:space="preserve">: indoor / outdoor RGB-D for generalisation.</w:t>
      </w:r>
    </w:p>
    <w:p>
      <w:pPr>
        <w:pStyle w:val="Compact"/>
        <w:numPr>
          <w:ilvl w:val="0"/>
          <w:numId w:val="1013"/>
        </w:numPr>
      </w:pPr>
      <w:r>
        <w:t xml:space="preserve">Optional: KITTI for outdoor road scenes if vehicles and roads are a focus.</w:t>
      </w:r>
    </w:p>
    <w:bookmarkEnd w:id="120"/>
    <w:bookmarkStart w:id="12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21"/>
    <w:bookmarkStart w:id="126" w:name="metrics-1"/>
    <w:p>
      <w:pPr>
        <w:pStyle w:val="Heading2"/>
      </w:pPr>
      <w:r>
        <w:t xml:space="preserve">Metrics</w:t>
      </w:r>
    </w:p>
    <w:bookmarkStart w:id="12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22"/>
    <w:bookmarkStart w:id="12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23"/>
    <w:bookmarkStart w:id="12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24"/>
    <w:bookmarkStart w:id="12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25"/>
    <w:bookmarkEnd w:id="126"/>
    <w:bookmarkStart w:id="12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7"/>
    <w:bookmarkEnd w:id="128"/>
    <w:bookmarkStart w:id="137" w:name="track-c-rgba-recomposition-fidelity"/>
    <w:p>
      <w:pPr>
        <w:pStyle w:val="Heading1"/>
      </w:pPr>
      <w:r>
        <w:t xml:space="preserve">Track C: RGBA recomposition fidelity</w:t>
      </w:r>
    </w:p>
    <w:bookmarkStart w:id="129" w:name="why-this-matters-2"/>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29"/>
    <w:bookmarkStart w:id="13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30"/>
    <w:bookmarkStart w:id="135" w:name="metrics-2"/>
    <w:p>
      <w:pPr>
        <w:pStyle w:val="Heading2"/>
      </w:pPr>
      <w:r>
        <w:t xml:space="preserve">Metrics</w:t>
      </w:r>
    </w:p>
    <w:bookmarkStart w:id="13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31"/>
    <w:bookmarkStart w:id="132" w:name="structural-similarity"/>
    <w:p>
      <w:pPr>
        <w:pStyle w:val="Heading3"/>
      </w:pPr>
      <w:r>
        <w:t xml:space="preserve">Structural similarity</w:t>
      </w:r>
    </w:p>
    <w:p>
      <w:pPr>
        <w:pStyle w:val="FirstParagraph"/>
      </w:pPr>
      <w:r>
        <w:t xml:space="preserve">SSIM or MS-SSIM.</w:t>
      </w:r>
    </w:p>
    <w:bookmarkEnd w:id="132"/>
    <w:bookmarkStart w:id="133" w:name="perceptual-similarity"/>
    <w:p>
      <w:pPr>
        <w:pStyle w:val="Heading3"/>
      </w:pPr>
      <w:r>
        <w:t xml:space="preserve">Perceptual similarity</w:t>
      </w:r>
    </w:p>
    <w:p>
      <w:pPr>
        <w:pStyle w:val="FirstParagraph"/>
      </w:pPr>
      <w:r>
        <w:t xml:space="preserve">LPIPS if it’s available. Lower is better.</w:t>
      </w:r>
    </w:p>
    <w:bookmarkEnd w:id="133"/>
    <w:bookmarkStart w:id="13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34"/>
    <w:bookmarkEnd w:id="135"/>
    <w:bookmarkStart w:id="13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6"/>
    <w:bookmarkEnd w:id="137"/>
    <w:bookmarkStart w:id="145" w:name="Xea7f79f5580e95207963157529789df046a2153"/>
    <w:p>
      <w:pPr>
        <w:pStyle w:val="Heading1"/>
      </w:pPr>
      <w:r>
        <w:t xml:space="preserve">Track D: Amodal mask and hidden-region completion</w:t>
      </w:r>
    </w:p>
    <w:bookmarkStart w:id="138" w:name="datasets-2"/>
    <w:p>
      <w:pPr>
        <w:pStyle w:val="Heading2"/>
      </w:pPr>
      <w:r>
        <w:t xml:space="preserve">Datasets</w:t>
      </w:r>
    </w:p>
    <w:p>
      <w:pPr>
        <w:pStyle w:val="Compact"/>
        <w:numPr>
          <w:ilvl w:val="0"/>
          <w:numId w:val="1014"/>
        </w:numPr>
      </w:pPr>
      <w:r>
        <w:rPr>
          <w:b/>
          <w:bCs/>
        </w:rPr>
        <w:t xml:space="preserve">Synthetic-LayerBench</w:t>
      </w:r>
      <w:r>
        <w:t xml:space="preserve">: exact full masks and hidden pixels are known.</w:t>
      </w:r>
    </w:p>
    <w:p>
      <w:pPr>
        <w:pStyle w:val="Compact"/>
        <w:numPr>
          <w:ilvl w:val="0"/>
          <w:numId w:val="1014"/>
        </w:numPr>
      </w:pPr>
      <w:r>
        <w:rPr>
          <w:b/>
          <w:bCs/>
        </w:rPr>
        <w:t xml:space="preserve">KINS</w:t>
      </w:r>
      <w:r>
        <w:t xml:space="preserve">: driving-scene amodal instance segmentation.</w:t>
      </w:r>
    </w:p>
    <w:p>
      <w:pPr>
        <w:pStyle w:val="Compact"/>
        <w:numPr>
          <w:ilvl w:val="0"/>
          <w:numId w:val="1014"/>
        </w:numPr>
      </w:pPr>
      <w:r>
        <w:rPr>
          <w:b/>
          <w:bCs/>
        </w:rPr>
        <w:t xml:space="preserve">COCOA / COCO-A</w:t>
      </w:r>
      <w:r>
        <w:t xml:space="preserve">: amodal object annotations where available.</w:t>
      </w:r>
    </w:p>
    <w:p>
      <w:pPr>
        <w:pStyle w:val="Compact"/>
        <w:numPr>
          <w:ilvl w:val="0"/>
          <w:numId w:val="1014"/>
        </w:numPr>
      </w:pPr>
      <w:r>
        <w:rPr>
          <w:b/>
          <w:bCs/>
        </w:rPr>
        <w:t xml:space="preserve">MP3D-Amodal</w:t>
      </w:r>
      <w:r>
        <w:t xml:space="preserve">, if accessible, for real indoor amodal masks from 3D data.</w:t>
      </w:r>
    </w:p>
    <w:bookmarkEnd w:id="138"/>
    <w:bookmarkStart w:id="143" w:name="metrics-3"/>
    <w:p>
      <w:pPr>
        <w:pStyle w:val="Heading2"/>
      </w:pPr>
      <w:r>
        <w:t xml:space="preserve">Metrics</w:t>
      </w:r>
    </w:p>
    <w:bookmarkStart w:id="13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39"/>
    <w:bookmarkStart w:id="14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40"/>
    <w:bookmarkStart w:id="14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41"/>
    <w:bookmarkStart w:id="14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42"/>
    <w:bookmarkEnd w:id="143"/>
    <w:bookmarkStart w:id="14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4"/>
    <w:bookmarkEnd w:id="145"/>
    <w:bookmarkStart w:id="152" w:name="track-e-intrinsic-albedoshading-split"/>
    <w:p>
      <w:pPr>
        <w:pStyle w:val="Heading1"/>
      </w:pPr>
      <w:r>
        <w:t xml:space="preserve">Track E: Intrinsic albedo/shading split</w:t>
      </w:r>
    </w:p>
    <w:bookmarkStart w:id="146" w:name="datasets-3"/>
    <w:p>
      <w:pPr>
        <w:pStyle w:val="Heading2"/>
      </w:pPr>
      <w:r>
        <w:t xml:space="preserve">Datasets</w:t>
      </w:r>
    </w:p>
    <w:p>
      <w:pPr>
        <w:pStyle w:val="Compact"/>
        <w:numPr>
          <w:ilvl w:val="0"/>
          <w:numId w:val="1015"/>
        </w:numPr>
      </w:pPr>
      <w:r>
        <w:rPr>
          <w:b/>
          <w:bCs/>
        </w:rPr>
        <w:t xml:space="preserve">IIW</w:t>
      </w:r>
      <w:r>
        <w:t xml:space="preserve"> </w:t>
      </w:r>
      <w:r>
        <w:t xml:space="preserve">for reflectance-order judgments and WHDR.</w:t>
      </w:r>
    </w:p>
    <w:p>
      <w:pPr>
        <w:pStyle w:val="Compact"/>
        <w:numPr>
          <w:ilvl w:val="0"/>
          <w:numId w:val="1015"/>
        </w:numPr>
      </w:pPr>
      <w:r>
        <w:rPr>
          <w:b/>
          <w:bCs/>
        </w:rPr>
        <w:t xml:space="preserve">Synthetic-LayerBench-Intrinsic</w:t>
      </w:r>
      <w:r>
        <w:t xml:space="preserve"> </w:t>
      </w:r>
      <w:r>
        <w:t xml:space="preserve">with known albedo and shading.</w:t>
      </w:r>
    </w:p>
    <w:p>
      <w:pPr>
        <w:pStyle w:val="Compact"/>
        <w:numPr>
          <w:ilvl w:val="0"/>
          <w:numId w:val="1015"/>
        </w:numPr>
      </w:pPr>
      <w:r>
        <w:t xml:space="preserve">Optional: MIT Intrinsic Images if a small controlled set is enough.</w:t>
      </w:r>
    </w:p>
    <w:bookmarkEnd w:id="146"/>
    <w:bookmarkStart w:id="150" w:name="metrics-4"/>
    <w:p>
      <w:pPr>
        <w:pStyle w:val="Heading2"/>
      </w:pPr>
      <w:r>
        <w:t xml:space="preserve">Metrics</w:t>
      </w:r>
    </w:p>
    <w:bookmarkStart w:id="147" w:name="whdr-on-iiw"/>
    <w:p>
      <w:pPr>
        <w:pStyle w:val="Heading3"/>
      </w:pPr>
      <w:r>
        <w:t xml:space="preserve">WHDR on IIW</w:t>
      </w:r>
    </w:p>
    <w:p>
      <w:pPr>
        <w:pStyle w:val="FirstParagraph"/>
      </w:pPr>
      <w:r>
        <w:t xml:space="preserve">WHDR measures whether predicted reflectance comparisons agree with human judgments. Lower is better.</w:t>
      </w:r>
    </w:p>
    <w:bookmarkEnd w:id="147"/>
    <w:bookmarkStart w:id="14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48"/>
    <w:bookmarkStart w:id="14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49"/>
    <w:bookmarkEnd w:id="150"/>
    <w:bookmarkStart w:id="15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51"/>
    <w:bookmarkEnd w:id="152"/>
    <w:bookmarkStart w:id="160" w:name="track-f-editability-evaluation"/>
    <w:p>
      <w:pPr>
        <w:pStyle w:val="Heading1"/>
      </w:pPr>
      <w:r>
        <w:t xml:space="preserve">Track F: Editability evaluation</w:t>
      </w:r>
    </w:p>
    <w:bookmarkStart w:id="153" w:name="why-this-matters-3"/>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53"/>
    <w:bookmarkStart w:id="154" w:name="edits-to-evaluate"/>
    <w:p>
      <w:pPr>
        <w:pStyle w:val="Heading2"/>
      </w:pPr>
      <w:r>
        <w:t xml:space="preserve">Edits to evaluate</w:t>
      </w:r>
    </w:p>
    <w:p>
      <w:pPr>
        <w:pStyle w:val="Compact"/>
        <w:numPr>
          <w:ilvl w:val="0"/>
          <w:numId w:val="1016"/>
        </w:numPr>
      </w:pPr>
      <w:r>
        <w:rPr>
          <w:b/>
          <w:bCs/>
        </w:rPr>
        <w:t xml:space="preserve">Object removal</w:t>
      </w:r>
      <w:r>
        <w:t xml:space="preserve"> </w:t>
      </w:r>
      <w:r>
        <w:t xml:space="preserve">— remove one foreground layer and show the completed background.</w:t>
      </w:r>
    </w:p>
    <w:p>
      <w:pPr>
        <w:pStyle w:val="Compact"/>
        <w:numPr>
          <w:ilvl w:val="0"/>
          <w:numId w:val="1016"/>
        </w:numPr>
      </w:pPr>
      <w:r>
        <w:rPr>
          <w:b/>
          <w:bCs/>
        </w:rPr>
        <w:t xml:space="preserve">Object translation</w:t>
      </w:r>
      <w:r>
        <w:t xml:space="preserve"> </w:t>
      </w:r>
      <w:r>
        <w:t xml:space="preserve">— move one layer sideways and see whether background holes stay plausible.</w:t>
      </w:r>
    </w:p>
    <w:p>
      <w:pPr>
        <w:pStyle w:val="Compact"/>
        <w:numPr>
          <w:ilvl w:val="0"/>
          <w:numId w:val="1016"/>
        </w:numPr>
      </w:pPr>
      <w:r>
        <w:rPr>
          <w:b/>
          <w:bCs/>
        </w:rPr>
        <w:t xml:space="preserve">Parallax preview</w:t>
      </w:r>
      <w:r>
        <w:t xml:space="preserve"> </w:t>
      </w:r>
      <w:r>
        <w:t xml:space="preserve">— shift layers according to depth to simulate viewpoint change.</w:t>
      </w:r>
    </w:p>
    <w:p>
      <w:pPr>
        <w:pStyle w:val="Compact"/>
        <w:numPr>
          <w:ilvl w:val="0"/>
          <w:numId w:val="1016"/>
        </w:numPr>
      </w:pPr>
      <w:r>
        <w:rPr>
          <w:b/>
          <w:bCs/>
        </w:rPr>
        <w:t xml:space="preserve">Depth-of-field edit</w:t>
      </w:r>
      <w:r>
        <w:t xml:space="preserve"> </w:t>
      </w:r>
      <w:r>
        <w:t xml:space="preserve">— blur far layers more than near layers.</w:t>
      </w:r>
    </w:p>
    <w:p>
      <w:pPr>
        <w:pStyle w:val="Compact"/>
        <w:numPr>
          <w:ilvl w:val="0"/>
          <w:numId w:val="1016"/>
        </w:numPr>
      </w:pPr>
      <w:r>
        <w:rPr>
          <w:b/>
          <w:bCs/>
        </w:rPr>
        <w:t xml:space="preserve">Albedo recolour</w:t>
      </w:r>
      <w:r>
        <w:t xml:space="preserve"> </w:t>
      </w:r>
      <w:r>
        <w:t xml:space="preserve">— recolour an object through its albedo while preserving shading.</w:t>
      </w:r>
    </w:p>
    <w:p>
      <w:pPr>
        <w:pStyle w:val="Compact"/>
        <w:numPr>
          <w:ilvl w:val="0"/>
          <w:numId w:val="1016"/>
        </w:numPr>
      </w:pPr>
      <w:r>
        <w:rPr>
          <w:b/>
          <w:bCs/>
        </w:rPr>
        <w:t xml:space="preserve">Relighting-lite</w:t>
      </w:r>
      <w:r>
        <w:t xml:space="preserve"> </w:t>
      </w:r>
      <w:r>
        <w:t xml:space="preserve">— scale or alter the shading layer.</w:t>
      </w:r>
    </w:p>
    <w:bookmarkEnd w:id="154"/>
    <w:bookmarkStart w:id="158" w:name="metrics-5"/>
    <w:p>
      <w:pPr>
        <w:pStyle w:val="Heading2"/>
      </w:pPr>
      <w:r>
        <w:t xml:space="preserve">Metrics</w:t>
      </w:r>
    </w:p>
    <w:bookmarkStart w:id="15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55"/>
    <w:bookmarkStart w:id="15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56"/>
    <w:bookmarkStart w:id="157" w:name="user-preference-study"/>
    <w:p>
      <w:pPr>
        <w:pStyle w:val="Heading3"/>
      </w:pPr>
      <w:r>
        <w:t xml:space="preserve">User preference study</w:t>
      </w:r>
    </w:p>
    <w:p>
      <w:pPr>
        <w:pStyle w:val="FirstParagraph"/>
      </w:pPr>
      <w:r>
        <w:t xml:space="preserve">A small study is plenty:</w:t>
      </w:r>
    </w:p>
    <w:p>
      <w:pPr>
        <w:pStyle w:val="Compact"/>
        <w:numPr>
          <w:ilvl w:val="0"/>
          <w:numId w:val="1017"/>
        </w:numPr>
      </w:pPr>
      <w:r>
        <w:t xml:space="preserve">10 to 20 images.</w:t>
      </w:r>
    </w:p>
    <w:p>
      <w:pPr>
        <w:pStyle w:val="Compact"/>
        <w:numPr>
          <w:ilvl w:val="0"/>
          <w:numId w:val="1017"/>
        </w:numPr>
      </w:pPr>
      <w:r>
        <w:t xml:space="preserve">3 methods: baseline, depth-aware only, full method.</w:t>
      </w:r>
    </w:p>
    <w:p>
      <w:pPr>
        <w:pStyle w:val="Compact"/>
        <w:numPr>
          <w:ilvl w:val="0"/>
          <w:numId w:val="1017"/>
        </w:numPr>
      </w:pPr>
      <w:r>
        <w:t xml:space="preserve">Question:</w:t>
      </w:r>
      <w:r>
        <w:t xml:space="preserve"> </w:t>
      </w:r>
      <w:r>
        <w:t xml:space="preserve">“Which edit looks more plausible?”</w:t>
      </w:r>
    </w:p>
    <w:p>
      <w:pPr>
        <w:pStyle w:val="Compact"/>
        <w:numPr>
          <w:ilvl w:val="0"/>
          <w:numId w:val="1017"/>
        </w:numPr>
      </w:pPr>
      <w:r>
        <w:t xml:space="preserve">Report preference percentage.</w:t>
      </w:r>
    </w:p>
    <w:p>
      <w:pPr>
        <w:pStyle w:val="FirstParagraph"/>
      </w:pPr>
      <w:r>
        <w:t xml:space="preserve">Even a dozen people can surface systematic differences.</w:t>
      </w:r>
    </w:p>
    <w:bookmarkEnd w:id="157"/>
    <w:bookmarkEnd w:id="158"/>
    <w:bookmarkStart w:id="15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59"/>
    <w:bookmarkEnd w:id="160"/>
    <w:bookmarkStart w:id="16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6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61"/>
    <w:bookmarkStart w:id="16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62"/>
    <w:bookmarkStart w:id="16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63"/>
    <w:bookmarkStart w:id="16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64"/>
    <w:bookmarkEnd w:id="165"/>
    <w:bookmarkStart w:id="16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66" w:name="expected-interpretation"/>
    <w:p>
      <w:pPr>
        <w:pStyle w:val="Heading2"/>
      </w:pPr>
      <w:r>
        <w:t xml:space="preserve">Expected interpretation</w:t>
      </w:r>
    </w:p>
    <w:p>
      <w:pPr>
        <w:pStyle w:val="Compact"/>
        <w:numPr>
          <w:ilvl w:val="0"/>
          <w:numId w:val="1018"/>
        </w:numPr>
      </w:pPr>
      <w:r>
        <w:t xml:space="preserve">A → B measures the semantic segmentation benefit.</w:t>
      </w:r>
    </w:p>
    <w:p>
      <w:pPr>
        <w:pStyle w:val="Compact"/>
        <w:numPr>
          <w:ilvl w:val="0"/>
          <w:numId w:val="1018"/>
        </w:numPr>
      </w:pPr>
      <w:r>
        <w:t xml:space="preserve">B → C measures the depth benefit.</w:t>
      </w:r>
    </w:p>
    <w:p>
      <w:pPr>
        <w:pStyle w:val="Compact"/>
        <w:numPr>
          <w:ilvl w:val="0"/>
          <w:numId w:val="1018"/>
        </w:numPr>
      </w:pPr>
      <w:r>
        <w:t xml:space="preserve">C → D measures the boundary graph benefit on top of depth.</w:t>
      </w:r>
    </w:p>
    <w:p>
      <w:pPr>
        <w:pStyle w:val="Compact"/>
        <w:numPr>
          <w:ilvl w:val="0"/>
          <w:numId w:val="1018"/>
        </w:numPr>
      </w:pPr>
      <w:r>
        <w:t xml:space="preserve">D → E measures open-vocabulary plus soft alpha.</w:t>
      </w:r>
    </w:p>
    <w:p>
      <w:pPr>
        <w:pStyle w:val="Compact"/>
        <w:numPr>
          <w:ilvl w:val="0"/>
          <w:numId w:val="1018"/>
        </w:numPr>
      </w:pPr>
      <w:r>
        <w:t xml:space="preserve">E → F measures amodal and inpaint.</w:t>
      </w:r>
    </w:p>
    <w:p>
      <w:pPr>
        <w:pStyle w:val="Compact"/>
        <w:numPr>
          <w:ilvl w:val="0"/>
          <w:numId w:val="1018"/>
        </w:numPr>
      </w:pPr>
      <w:r>
        <w:t xml:space="preserve">G → H measures intrinsic split usefulness.</w:t>
      </w:r>
    </w:p>
    <w:p>
      <w:pPr>
        <w:pStyle w:val="Compact"/>
        <w:numPr>
          <w:ilvl w:val="0"/>
          <w:numId w:val="1018"/>
        </w:numPr>
      </w:pPr>
      <w:r>
        <w:t xml:space="preserve">H → I measures whether recursive peeling improves editability or hidden-region completion beyond the one-shot stack.</w:t>
      </w:r>
    </w:p>
    <w:p>
      <w:r>
        <w:pict>
          <v:rect style="width:0;height:1.5pt" o:hralign="center" o:hrstd="t" o:hr="t"/>
        </w:pict>
      </w:r>
    </w:p>
    <w:bookmarkEnd w:id="166"/>
    <w:bookmarkEnd w:id="167"/>
    <w:bookmarkStart w:id="16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9"/>
        </w:numPr>
      </w:pPr>
      <w:r>
        <w:t xml:space="preserve">Input image.</w:t>
      </w:r>
    </w:p>
    <w:p>
      <w:pPr>
        <w:pStyle w:val="Compact"/>
        <w:numPr>
          <w:ilvl w:val="0"/>
          <w:numId w:val="1019"/>
        </w:numPr>
      </w:pPr>
      <w:r>
        <w:t xml:space="preserve">Semantic overlay.</w:t>
      </w:r>
    </w:p>
    <w:p>
      <w:pPr>
        <w:pStyle w:val="Compact"/>
        <w:numPr>
          <w:ilvl w:val="0"/>
          <w:numId w:val="1019"/>
        </w:numPr>
      </w:pPr>
      <w:r>
        <w:t xml:space="preserve">Depth map.</w:t>
      </w:r>
    </w:p>
    <w:p>
      <w:pPr>
        <w:pStyle w:val="Compact"/>
        <w:numPr>
          <w:ilvl w:val="0"/>
          <w:numId w:val="1019"/>
        </w:numPr>
      </w:pPr>
      <w:r>
        <w:t xml:space="preserve">Layer graph visualization.</w:t>
      </w:r>
    </w:p>
    <w:p>
      <w:pPr>
        <w:pStyle w:val="Compact"/>
        <w:numPr>
          <w:ilvl w:val="0"/>
          <w:numId w:val="1019"/>
        </w:numPr>
      </w:pPr>
      <w:r>
        <w:t xml:space="preserve">Ordered RGBA contact sheet.</w:t>
      </w:r>
    </w:p>
    <w:p>
      <w:pPr>
        <w:pStyle w:val="Compact"/>
        <w:numPr>
          <w:ilvl w:val="0"/>
          <w:numId w:val="1019"/>
        </w:numPr>
      </w:pPr>
      <w:r>
        <w:t xml:space="preserve">Hard-mask baseline vs soft-alpha result.</w:t>
      </w:r>
    </w:p>
    <w:p>
      <w:pPr>
        <w:pStyle w:val="Compact"/>
        <w:numPr>
          <w:ilvl w:val="0"/>
          <w:numId w:val="1019"/>
        </w:numPr>
      </w:pPr>
      <w:r>
        <w:t xml:space="preserve">Global-depth ordering vs boundary-graph ordering.</w:t>
      </w:r>
    </w:p>
    <w:p>
      <w:pPr>
        <w:pStyle w:val="Compact"/>
        <w:numPr>
          <w:ilvl w:val="0"/>
          <w:numId w:val="1019"/>
        </w:numPr>
      </w:pPr>
      <w:r>
        <w:t xml:space="preserve">Visible mask vs amodal mask.</w:t>
      </w:r>
    </w:p>
    <w:p>
      <w:pPr>
        <w:pStyle w:val="Compact"/>
        <w:numPr>
          <w:ilvl w:val="0"/>
          <w:numId w:val="1019"/>
        </w:numPr>
      </w:pPr>
      <w:r>
        <w:t xml:space="preserve">Object removal with background completion.</w:t>
      </w:r>
    </w:p>
    <w:p>
      <w:pPr>
        <w:pStyle w:val="Compact"/>
        <w:numPr>
          <w:ilvl w:val="0"/>
          <w:numId w:val="1019"/>
        </w:numPr>
      </w:pPr>
      <w:r>
        <w:t xml:space="preserve">Recursive peeling storyboard.</w:t>
      </w:r>
    </w:p>
    <w:p>
      <w:pPr>
        <w:pStyle w:val="Compact"/>
        <w:numPr>
          <w:ilvl w:val="0"/>
          <w:numId w:val="1019"/>
        </w:numPr>
      </w:pPr>
      <w:r>
        <w:t xml:space="preserve">Parallax GIF or frame strip.</w:t>
      </w:r>
    </w:p>
    <w:p>
      <w:pPr>
        <w:pStyle w:val="Compact"/>
        <w:numPr>
          <w:ilvl w:val="0"/>
          <w:numId w:val="1019"/>
        </w:numPr>
      </w:pPr>
      <w:r>
        <w:t xml:space="preserve">Albedo/shading layer visualisation.</w:t>
      </w:r>
    </w:p>
    <w:p>
      <w:pPr>
        <w:pStyle w:val="Compact"/>
        <w:numPr>
          <w:ilvl w:val="0"/>
          <w:numId w:val="1019"/>
        </w:numPr>
      </w:pPr>
      <w:r>
        <w:t xml:space="preserve">Failure cases.</w:t>
      </w:r>
    </w:p>
    <w:p>
      <w:pPr>
        <w:pStyle w:val="FirstParagraph"/>
      </w:pPr>
      <w:r>
        <w:t xml:space="preserve">Tables:</w:t>
      </w:r>
    </w:p>
    <w:p>
      <w:pPr>
        <w:pStyle w:val="Compact"/>
        <w:numPr>
          <w:ilvl w:val="0"/>
          <w:numId w:val="1020"/>
        </w:numPr>
      </w:pPr>
      <w:r>
        <w:t xml:space="preserve">Literature comparison table.</w:t>
      </w:r>
    </w:p>
    <w:p>
      <w:pPr>
        <w:pStyle w:val="Compact"/>
        <w:numPr>
          <w:ilvl w:val="0"/>
          <w:numId w:val="1020"/>
        </w:numPr>
      </w:pPr>
      <w:r>
        <w:t xml:space="preserve">Benchmark/dataset table.</w:t>
      </w:r>
    </w:p>
    <w:p>
      <w:pPr>
        <w:pStyle w:val="Compact"/>
        <w:numPr>
          <w:ilvl w:val="0"/>
          <w:numId w:val="1020"/>
        </w:numPr>
      </w:pPr>
      <w:r>
        <w:t xml:space="preserve">Ablation metrics table.</w:t>
      </w:r>
    </w:p>
    <w:p>
      <w:pPr>
        <w:pStyle w:val="Compact"/>
        <w:numPr>
          <w:ilvl w:val="0"/>
          <w:numId w:val="1020"/>
        </w:numPr>
      </w:pPr>
      <w:r>
        <w:t xml:space="preserve">Runtime/memory table.</w:t>
      </w:r>
    </w:p>
    <w:p>
      <w:pPr>
        <w:pStyle w:val="Compact"/>
        <w:numPr>
          <w:ilvl w:val="0"/>
          <w:numId w:val="1020"/>
        </w:numPr>
      </w:pPr>
      <w:r>
        <w:t xml:space="preserve">Failure-case taxonomy.</w:t>
      </w:r>
    </w:p>
    <w:p>
      <w:r>
        <w:pict>
          <v:rect style="width:0;height:1.5pt" o:hralign="center" o:hrstd="t" o:hr="t"/>
        </w:pict>
      </w:r>
    </w:p>
    <w:bookmarkEnd w:id="168"/>
    <w:bookmarkStart w:id="16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69"/>
    <w:bookmarkStart w:id="205"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99" w:name="results"/>
    <w:p>
      <w:pPr>
        <w:pStyle w:val="Heading2"/>
      </w:pPr>
      <w:r>
        <w:t xml:space="preserve">6. Results</w:t>
      </w:r>
    </w:p>
    <w:bookmarkStart w:id="190" w:name="hero-figures"/>
    <w:p>
      <w:pPr>
        <w:pStyle w:val="Heading3"/>
      </w:pPr>
      <w:r>
        <w:t xml:space="preserve">Hero figures</w:t>
      </w:r>
    </w:p>
    <w:bookmarkStart w:id="173"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71" name="Picture"/>
            <a:graphic>
              <a:graphicData uri="http://schemas.openxmlformats.org/drawingml/2006/picture">
                <pic:pic>
                  <pic:nvPicPr>
                    <pic:cNvPr descr="../figures/truck_recomposition_comparison.png" id="172" name="Picture"/>
                    <pic:cNvPicPr>
                      <a:picLocks noChangeArrowheads="1" noChangeAspect="1"/>
                    </pic:cNvPicPr>
                  </pic:nvPicPr>
                  <pic:blipFill>
                    <a:blip r:embed="rId170"/>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73"/>
    <w:bookmarkStart w:id="177"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75" name="Picture"/>
            <a:graphic>
              <a:graphicData uri="http://schemas.openxmlformats.org/drawingml/2006/picture">
                <pic:pic>
                  <pic:nvPicPr>
                    <pic:cNvPr descr="../figures/frontier_review.png" id="176" name="Picture"/>
                    <pic:cNvPicPr>
                      <a:picLocks noChangeArrowheads="1" noChangeAspect="1"/>
                    </pic:cNvPicPr>
                  </pic:nvPicPr>
                  <pic:blipFill>
                    <a:blip r:embed="rId174"/>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77"/>
    <w:bookmarkStart w:id="181"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79" name="Picture"/>
            <a:graphic>
              <a:graphicData uri="http://schemas.openxmlformats.org/drawingml/2006/picture">
                <pic:pic>
                  <pic:nvPicPr>
                    <pic:cNvPr descr="../figures/prompt_extract_benchmark.png" id="180" name="Picture"/>
                    <pic:cNvPicPr>
                      <a:picLocks noChangeArrowheads="1" noChangeAspect="1"/>
                    </pic:cNvPicPr>
                  </pic:nvPicPr>
                  <pic:blipFill>
                    <a:blip r:embed="rId178"/>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81"/>
    <w:bookmarkStart w:id="185"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83" name="Picture"/>
            <a:graphic>
              <a:graphicData uri="http://schemas.openxmlformats.org/drawingml/2006/picture">
                <pic:pic>
                  <pic:nvPicPr>
                    <pic:cNvPr descr="../figures/transparent_benchmark.png" id="184" name="Picture"/>
                    <pic:cNvPicPr>
                      <a:picLocks noChangeArrowheads="1" noChangeAspect="1"/>
                    </pic:cNvPicPr>
                  </pic:nvPicPr>
                  <pic:blipFill>
                    <a:blip r:embed="rId182"/>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85"/>
    <w:bookmarkStart w:id="189"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87" name="Picture"/>
            <a:graphic>
              <a:graphicData uri="http://schemas.openxmlformats.org/drawingml/2006/picture">
                <pic:pic>
                  <pic:nvPicPr>
                    <pic:cNvPr descr="../figures/effects_layer_demo.png" id="188" name="Picture"/>
                    <pic:cNvPicPr>
                      <a:picLocks noChangeArrowheads="1" noChangeAspect="1"/>
                    </pic:cNvPicPr>
                  </pic:nvPicPr>
                  <pic:blipFill>
                    <a:blip r:embed="rId18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89"/>
    <w:bookmarkEnd w:id="190"/>
    <w:bookmarkStart w:id="197"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91"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91"/>
    <w:bookmarkStart w:id="192"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92"/>
    <w:bookmarkStart w:id="193"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93"/>
    <w:bookmarkStart w:id="194"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94"/>
    <w:bookmarkStart w:id="195"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95"/>
    <w:bookmarkStart w:id="196"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96"/>
    <w:bookmarkEnd w:id="197"/>
    <w:bookmarkStart w:id="198" w:name="interpretation"/>
    <w:p>
      <w:pPr>
        <w:pStyle w:val="Heading3"/>
      </w:pPr>
      <w:r>
        <w:t xml:space="preserve">Interpretation</w:t>
      </w:r>
    </w:p>
    <w:p>
      <w:pPr>
        <w:pStyle w:val="Compact"/>
        <w:numPr>
          <w:ilvl w:val="0"/>
          <w:numId w:val="1021"/>
        </w:numPr>
      </w:pPr>
      <w:r>
        <w:t xml:space="preserve">Raw Qwen remains the stronger compact pure-PSNR baseline on the measured five-image sweep.</w:t>
      </w:r>
    </w:p>
    <w:p>
      <w:pPr>
        <w:pStyle w:val="Compact"/>
        <w:numPr>
          <w:ilvl w:val="0"/>
          <w:numId w:val="1021"/>
        </w:numPr>
      </w:pPr>
      <w:r>
        <w:t xml:space="preserve">Native LayerForge posts the strongest mean SSIM on the same images, at the cost of a larger average stack.</w:t>
      </w:r>
    </w:p>
    <w:p>
      <w:pPr>
        <w:pStyle w:val="Compact"/>
        <w:numPr>
          <w:ilvl w:val="0"/>
          <w:numId w:val="1021"/>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21"/>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21"/>
        </w:numPr>
      </w:pPr>
      <w:r>
        <w:t xml:space="preserve">The editability suite is the anti-triviality guardrail for the selector, which is why raw Qwen’s object-removal response remains near zero despite reasonable recomposition scores.</w:t>
      </w:r>
    </w:p>
    <w:p>
      <w:pPr>
        <w:pStyle w:val="Compact"/>
        <w:numPr>
          <w:ilvl w:val="0"/>
          <w:numId w:val="1021"/>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21"/>
        </w:numPr>
      </w:pPr>
      <w:r>
        <w:t xml:space="preserve">Transparent recomposition is reported as a sanity check; alpha error and clean-background quality are the primary transparent-layer metrics.</w:t>
      </w:r>
    </w:p>
    <w:p>
      <w:pPr>
        <w:pStyle w:val="Compact"/>
        <w:numPr>
          <w:ilvl w:val="0"/>
          <w:numId w:val="1021"/>
        </w:numPr>
      </w:pPr>
      <w:r>
        <w:t xml:space="preserve">The associated-effect path now has a real exported demo artifact with a materially improved clean-reference rerun, but it must still be framed as an early heuristic rather than a solved component.</w:t>
      </w:r>
    </w:p>
    <w:bookmarkEnd w:id="198"/>
    <w:bookmarkEnd w:id="199"/>
    <w:bookmarkStart w:id="200" w:name="discussion"/>
    <w:p>
      <w:pPr>
        <w:pStyle w:val="Heading2"/>
      </w:pPr>
      <w:r>
        <w:t xml:space="preserve">7.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200"/>
    <w:bookmarkStart w:id="203" w:name="limitations"/>
    <w:p>
      <w:pPr>
        <w:pStyle w:val="Heading2"/>
      </w:pPr>
      <w:r>
        <w:t xml:space="preserve">8. Limitations</w:t>
      </w:r>
    </w:p>
    <w:p>
      <w:pPr>
        <w:pStyle w:val="FirstParagraph"/>
      </w:pPr>
      <w:r>
        <w:t xml:space="preserve">Failure taxonomy and future-work framing are documented in</w:t>
      </w:r>
      <w:r>
        <w:t xml:space="preserve"> </w:t>
      </w:r>
      <w:hyperlink r:id="rId201">
        <w:r>
          <w:rPr>
            <w:rStyle w:val="Hyperlink"/>
          </w:rPr>
          <w:t xml:space="preserve">04_ABLATIONS_AND_TABLES.md</w:t>
        </w:r>
      </w:hyperlink>
      <w:r>
        <w:t xml:space="preserve"> </w:t>
      </w:r>
      <w:r>
        <w:t xml:space="preserve">and</w:t>
      </w:r>
      <w:r>
        <w:t xml:space="preserve"> </w:t>
      </w:r>
      <w:hyperlink r:id="rId202">
        <w:r>
          <w:rPr>
            <w:rStyle w:val="Hyperlink"/>
          </w:rPr>
          <w:t xml:space="preserve">02_BENCHMARKING_PROTOCOL.md</w:t>
        </w:r>
      </w:hyperlink>
      <w:r>
        <w:t xml:space="preserve">. The report should explicitly keep:</w:t>
      </w:r>
    </w:p>
    <w:p>
      <w:pPr>
        <w:pStyle w:val="Compact"/>
        <w:numPr>
          <w:ilvl w:val="0"/>
          <w:numId w:val="1022"/>
        </w:numPr>
      </w:pPr>
      <w:r>
        <w:t xml:space="preserve">wrong semantic grouping;</w:t>
      </w:r>
    </w:p>
    <w:p>
      <w:pPr>
        <w:pStyle w:val="Compact"/>
        <w:numPr>
          <w:ilvl w:val="0"/>
          <w:numId w:val="1022"/>
        </w:numPr>
      </w:pPr>
      <w:r>
        <w:t xml:space="preserve">wrong depth order;</w:t>
      </w:r>
    </w:p>
    <w:p>
      <w:pPr>
        <w:pStyle w:val="Compact"/>
        <w:numPr>
          <w:ilvl w:val="0"/>
          <w:numId w:val="1022"/>
        </w:numPr>
      </w:pPr>
      <w:r>
        <w:t xml:space="preserve">jagged alpha boundaries;</w:t>
      </w:r>
    </w:p>
    <w:p>
      <w:pPr>
        <w:pStyle w:val="Compact"/>
        <w:numPr>
          <w:ilvl w:val="0"/>
          <w:numId w:val="1022"/>
        </w:numPr>
      </w:pPr>
      <w:r>
        <w:t xml:space="preserve">missing shadow/effect layers;</w:t>
      </w:r>
    </w:p>
    <w:p>
      <w:pPr>
        <w:pStyle w:val="Compact"/>
        <w:numPr>
          <w:ilvl w:val="0"/>
          <w:numId w:val="1022"/>
        </w:numPr>
      </w:pPr>
      <w:r>
        <w:t xml:space="preserve">bad inpainting in large unseen regions;</w:t>
      </w:r>
    </w:p>
    <w:p>
      <w:pPr>
        <w:pStyle w:val="Compact"/>
        <w:numPr>
          <w:ilvl w:val="0"/>
          <w:numId w:val="1022"/>
        </w:numPr>
      </w:pPr>
      <w:r>
        <w:t xml:space="preserve">bad amodal continuation under heavy occlusion;</w:t>
      </w:r>
    </w:p>
    <w:p>
      <w:pPr>
        <w:pStyle w:val="Compact"/>
        <w:numPr>
          <w:ilvl w:val="0"/>
          <w:numId w:val="1022"/>
        </w:numPr>
      </w:pPr>
      <w:r>
        <w:t xml:space="preserve">intrinsic split errors;</w:t>
      </w:r>
    </w:p>
    <w:p>
      <w:pPr>
        <w:pStyle w:val="Compact"/>
        <w:numPr>
          <w:ilvl w:val="0"/>
          <w:numId w:val="1022"/>
        </w:numPr>
      </w:pPr>
      <w:r>
        <w:t xml:space="preserve">point-only and box-only prompt-routing ambiguity;</w:t>
      </w:r>
    </w:p>
    <w:p>
      <w:pPr>
        <w:pStyle w:val="Compact"/>
        <w:numPr>
          <w:ilvl w:val="0"/>
          <w:numId w:val="1022"/>
        </w:numPr>
      </w:pPr>
      <w:r>
        <w:t xml:space="preserve">transparent-layer recovery that is still approximate rather than generative.</w:t>
      </w:r>
    </w:p>
    <w:bookmarkEnd w:id="203"/>
    <w:bookmarkStart w:id="204" w:name="conclusion"/>
    <w:p>
      <w:pPr>
        <w:pStyle w:val="Heading2"/>
      </w:pPr>
      <w:r>
        <w:t xml:space="preserve">9.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204"/>
    <w:bookmarkEnd w:id="205"/>
    <w:bookmarkStart w:id="219" w:name="references"/>
    <w:p>
      <w:pPr>
        <w:pStyle w:val="Heading1"/>
      </w:pPr>
      <w:r>
        <w:t xml:space="preserve">10. References</w:t>
      </w:r>
    </w:p>
    <w:p>
      <w:pPr>
        <w:pStyle w:val="Compact"/>
        <w:numPr>
          <w:ilvl w:val="0"/>
          <w:numId w:val="1023"/>
        </w:numPr>
      </w:pPr>
      <w:r>
        <w:t xml:space="preserve">Shade, J., Gortler, S., He, L., and Szeliski, R. Layered Depth Images. SIGGRAPH 1998.</w:t>
      </w:r>
    </w:p>
    <w:p>
      <w:pPr>
        <w:pStyle w:val="Compact"/>
        <w:numPr>
          <w:ilvl w:val="0"/>
          <w:numId w:val="1023"/>
        </w:numPr>
      </w:pPr>
      <w:r>
        <w:t xml:space="preserve">Shih, M.-L., Su, S.-Y., Kopf, J., and Huang, J.-B. 3D Photography using Context-aware Layered Depth Inpainting. CVPR 2020.</w:t>
      </w:r>
    </w:p>
    <w:p>
      <w:pPr>
        <w:pStyle w:val="Compact"/>
        <w:numPr>
          <w:ilvl w:val="0"/>
          <w:numId w:val="1023"/>
        </w:numPr>
      </w:pPr>
      <w:r>
        <w:t xml:space="preserve">Kirillov, A. et al. Panoptic Segmentation. CVPR 2019.</w:t>
      </w:r>
    </w:p>
    <w:p>
      <w:pPr>
        <w:pStyle w:val="Compact"/>
        <w:numPr>
          <w:ilvl w:val="0"/>
          <w:numId w:val="1023"/>
        </w:numPr>
      </w:pPr>
      <w:r>
        <w:t xml:space="preserve">Cheng, B. et al. Mask2Former for Universal Image Segmentation. CVPR 2022.</w:t>
      </w:r>
    </w:p>
    <w:p>
      <w:pPr>
        <w:pStyle w:val="Compact"/>
        <w:numPr>
          <w:ilvl w:val="0"/>
          <w:numId w:val="1023"/>
        </w:numPr>
      </w:pPr>
      <w:r>
        <w:t xml:space="preserve">Liu, S. et al. Grounding DINO: Marrying DINO with Grounded Pre-Training for Open-Set Object Detection. ECCV 2024 / arXiv 2023.</w:t>
      </w:r>
    </w:p>
    <w:p>
      <w:pPr>
        <w:pStyle w:val="Compact"/>
        <w:numPr>
          <w:ilvl w:val="0"/>
          <w:numId w:val="1023"/>
        </w:numPr>
      </w:pPr>
      <w:r>
        <w:t xml:space="preserve">Ravi, N. et al. SAM 2: Segment Anything in Images and Videos. 2024.</w:t>
      </w:r>
    </w:p>
    <w:p>
      <w:pPr>
        <w:pStyle w:val="Compact"/>
        <w:numPr>
          <w:ilvl w:val="0"/>
          <w:numId w:val="1023"/>
        </w:numPr>
      </w:pPr>
      <w:r>
        <w:t xml:space="preserve">Xiao, B. et al. Florence-2: Advancing a Unified Representation for a Variety of Vision Tasks. CVPR 2024.</w:t>
      </w:r>
    </w:p>
    <w:p>
      <w:pPr>
        <w:pStyle w:val="Compact"/>
        <w:numPr>
          <w:ilvl w:val="0"/>
          <w:numId w:val="1023"/>
        </w:numPr>
      </w:pPr>
      <w:r>
        <w:t xml:space="preserve">Bochkovskiy, A. et al. Depth Pro: Sharp Monocular Metric Depth in Less Than a Second. 2024.</w:t>
      </w:r>
    </w:p>
    <w:p>
      <w:pPr>
        <w:pStyle w:val="Compact"/>
        <w:numPr>
          <w:ilvl w:val="0"/>
          <w:numId w:val="1023"/>
        </w:numPr>
      </w:pPr>
      <w:r>
        <w:t xml:space="preserve">Yang, Y. et al. Generative Image Layer Decomposition with Visual Effects. CVPR 2025.</w:t>
      </w:r>
    </w:p>
    <w:p>
      <w:pPr>
        <w:pStyle w:val="Compact"/>
        <w:numPr>
          <w:ilvl w:val="0"/>
          <w:numId w:val="1023"/>
        </w:numPr>
      </w:pPr>
      <w:r>
        <w:t xml:space="preserve">DiffDecompose: Layer-Wise Decomposition of Alpha-Composited Images via Diffusion Transformers. arXiv 2025.</w:t>
      </w:r>
    </w:p>
    <w:p>
      <w:pPr>
        <w:pStyle w:val="Compact"/>
        <w:numPr>
          <w:ilvl w:val="0"/>
          <w:numId w:val="1023"/>
        </w:numPr>
      </w:pPr>
      <w:r>
        <w:t xml:space="preserve">Referring Layer Decomposition. arXiv 2026.</w:t>
      </w:r>
    </w:p>
    <w:p>
      <w:pPr>
        <w:pStyle w:val="Compact"/>
        <w:numPr>
          <w:ilvl w:val="0"/>
          <w:numId w:val="1023"/>
        </w:numPr>
      </w:pPr>
      <w:r>
        <w:t xml:space="preserve">Qwen-Image-Layered: Towards Inherent Editability via Layer Decomposition. 2025.</w:t>
      </w:r>
    </w:p>
    <w:p>
      <w:pPr>
        <w:pStyle w:val="Compact"/>
        <w:numPr>
          <w:ilvl w:val="0"/>
          <w:numId w:val="1023"/>
        </w:numPr>
      </w:pPr>
      <w:r>
        <w:t xml:space="preserve">Yao, J. et al. Matte Anything. 2024.</w:t>
      </w:r>
    </w:p>
    <w:p>
      <w:pPr>
        <w:pStyle w:val="Compact"/>
        <w:numPr>
          <w:ilvl w:val="0"/>
          <w:numId w:val="1023"/>
        </w:numPr>
      </w:pPr>
      <w:r>
        <w:t xml:space="preserve">Suvorov, R. et al. Resolution-robust Large Mask Inpainting with Fourier Convolutions. WACV 2022.</w:t>
      </w:r>
    </w:p>
    <w:p>
      <w:pPr>
        <w:pStyle w:val="Compact"/>
        <w:numPr>
          <w:ilvl w:val="0"/>
          <w:numId w:val="1023"/>
        </w:numPr>
      </w:pPr>
      <w:r>
        <w:t xml:space="preserve">Bell, S. et al. Intrinsic Images in the Wild. SIGGRAPH 2014.</w:t>
      </w:r>
    </w:p>
    <w:p>
      <w:pPr>
        <w:pStyle w:val="Compact"/>
        <w:numPr>
          <w:ilvl w:val="0"/>
          <w:numId w:val="1023"/>
        </w:numPr>
      </w:pPr>
      <w:r>
        <w:t xml:space="preserve">Tai, Y. et al. Segment Anything, Even Occluded. 2025.</w:t>
      </w:r>
    </w:p>
    <w:bookmarkStart w:id="217" w:name="appendix-a-artifact-map"/>
    <w:p>
      <w:pPr>
        <w:pStyle w:val="Heading2"/>
      </w:pPr>
      <w:r>
        <w:t xml:space="preserve">Appendix A: artifact map</w:t>
      </w:r>
    </w:p>
    <w:p>
      <w:pPr>
        <w:pStyle w:val="FirstParagraph"/>
      </w:pPr>
      <w:r>
        <w:t xml:space="preserve">Submission source-of-truth files:</w:t>
      </w:r>
    </w:p>
    <w:p>
      <w:pPr>
        <w:pStyle w:val="Compact"/>
        <w:numPr>
          <w:ilvl w:val="0"/>
          <w:numId w:val="1024"/>
        </w:numPr>
      </w:pPr>
      <w:hyperlink r:id="rId206">
        <w:r>
          <w:rPr>
            <w:rStyle w:val="Hyperlink"/>
          </w:rPr>
          <w:t xml:space="preserve">../../PROJECT_MANIFEST.json</w:t>
        </w:r>
      </w:hyperlink>
    </w:p>
    <w:p>
      <w:pPr>
        <w:pStyle w:val="Compact"/>
        <w:numPr>
          <w:ilvl w:val="0"/>
          <w:numId w:val="1024"/>
        </w:numPr>
      </w:pPr>
      <w:hyperlink r:id="rId207">
        <w:r>
          <w:rPr>
            <w:rStyle w:val="Hyperlink"/>
          </w:rPr>
          <w:t xml:space="preserve">../../report_artifacts/README.md</w:t>
        </w:r>
      </w:hyperlink>
    </w:p>
    <w:p>
      <w:pPr>
        <w:pStyle w:val="Compact"/>
        <w:numPr>
          <w:ilvl w:val="0"/>
          <w:numId w:val="1024"/>
        </w:numPr>
      </w:pPr>
      <w:hyperlink r:id="rId208">
        <w:r>
          <w:rPr>
            <w:rStyle w:val="Hyperlink"/>
          </w:rPr>
          <w:t xml:space="preserve">../../report_artifacts/metrics_snapshots/</w:t>
        </w:r>
      </w:hyperlink>
    </w:p>
    <w:p>
      <w:pPr>
        <w:pStyle w:val="Compact"/>
        <w:numPr>
          <w:ilvl w:val="0"/>
          <w:numId w:val="1024"/>
        </w:numPr>
      </w:pPr>
      <w:hyperlink r:id="rId209">
        <w:r>
          <w:rPr>
            <w:rStyle w:val="Hyperlink"/>
          </w:rPr>
          <w:t xml:space="preserve">../../report_artifacts/figure_sources/figure_manifest.json</w:t>
        </w:r>
      </w:hyperlink>
    </w:p>
    <w:p>
      <w:pPr>
        <w:pStyle w:val="Compact"/>
        <w:numPr>
          <w:ilvl w:val="0"/>
          <w:numId w:val="1024"/>
        </w:numPr>
      </w:pPr>
      <w:hyperlink r:id="rId210">
        <w:r>
          <w:rPr>
            <w:rStyle w:val="Hyperlink"/>
          </w:rPr>
          <w:t xml:space="preserve">../../report_artifacts/command_log.md</w:t>
        </w:r>
      </w:hyperlink>
    </w:p>
    <w:p>
      <w:pPr>
        <w:pStyle w:val="Compact"/>
        <w:numPr>
          <w:ilvl w:val="0"/>
          <w:numId w:val="1024"/>
        </w:numPr>
      </w:pPr>
      <w:hyperlink r:id="rId211">
        <w:r>
          <w:rPr>
            <w:rStyle w:val="Hyperlink"/>
          </w:rPr>
          <w:t xml:space="preserve">../RESULTS_SUMMARY_CURRENT.md</w:t>
        </w:r>
      </w:hyperlink>
    </w:p>
    <w:p>
      <w:pPr>
        <w:pStyle w:val="Compact"/>
        <w:numPr>
          <w:ilvl w:val="0"/>
          <w:numId w:val="1024"/>
        </w:numPr>
      </w:pPr>
      <w:hyperlink r:id="rId212">
        <w:r>
          <w:rPr>
            <w:rStyle w:val="Hyperlink"/>
          </w:rPr>
          <w:t xml:space="preserve">../QWEN_IMAGE_LAYERED_COMPARISON.md</w:t>
        </w:r>
      </w:hyperlink>
    </w:p>
    <w:p>
      <w:pPr>
        <w:pStyle w:val="Compact"/>
        <w:numPr>
          <w:ilvl w:val="0"/>
          <w:numId w:val="1024"/>
        </w:numPr>
      </w:pPr>
      <w:hyperlink r:id="rId213">
        <w:r>
          <w:rPr>
            <w:rStyle w:val="Hyperlink"/>
          </w:rPr>
          <w:t xml:space="preserve">../REPORT_TABLES.md</w:t>
        </w:r>
      </w:hyperlink>
    </w:p>
    <w:p>
      <w:pPr>
        <w:pStyle w:val="Compact"/>
        <w:numPr>
          <w:ilvl w:val="0"/>
          <w:numId w:val="1024"/>
        </w:numPr>
      </w:pPr>
      <w:hyperlink r:id="rId214">
        <w:r>
          <w:rPr>
            <w:rStyle w:val="Hyperlink"/>
          </w:rPr>
          <w:t xml:space="preserve">../FIGURES.md</w:t>
        </w:r>
      </w:hyperlink>
    </w:p>
    <w:p>
      <w:pPr>
        <w:pStyle w:val="Compact"/>
        <w:numPr>
          <w:ilvl w:val="0"/>
          <w:numId w:val="1024"/>
        </w:numPr>
      </w:pPr>
      <w:hyperlink r:id="rId215">
        <w:r>
          <w:rPr>
            <w:rStyle w:val="Hyperlink"/>
          </w:rPr>
          <w:t xml:space="preserve">../PRODUCT_ARCHITECTURE_AND_LAUNCH.md</w:t>
        </w:r>
      </w:hyperlink>
    </w:p>
    <w:p>
      <w:pPr>
        <w:pStyle w:val="Compact"/>
        <w:numPr>
          <w:ilvl w:val="0"/>
          <w:numId w:val="1024"/>
        </w:numPr>
      </w:pPr>
      <w:hyperlink r:id="rId216">
        <w:r>
          <w:rPr>
            <w:rStyle w:val="Hyperlink"/>
          </w:rPr>
          <w:t xml:space="preserve">../api/openapi.yaml</w:t>
        </w:r>
      </w:hyperlink>
    </w:p>
    <w:bookmarkEnd w:id="217"/>
    <w:bookmarkStart w:id="218" w:name="appendix-b-extended-tables-and-ablations"/>
    <w:p>
      <w:pPr>
        <w:pStyle w:val="Heading2"/>
      </w:pPr>
      <w:r>
        <w:t xml:space="preserve">Appendix B: extended tables and ablations</w:t>
      </w:r>
    </w:p>
    <w:bookmarkEnd w:id="218"/>
    <w:bookmarkEnd w:id="219"/>
    <w:bookmarkStart w:id="235" w:name="X45208ce828bed5a4ae76192024806b0334f8216"/>
    <w:p>
      <w:pPr>
        <w:pStyle w:val="Heading1"/>
      </w:pPr>
      <w:r>
        <w:t xml:space="preserve">Appendix B. Extended Tables and Ablations</w:t>
      </w:r>
    </w:p>
    <w:p>
      <w:pPr>
        <w:pStyle w:val="FirstParagraph"/>
      </w:pPr>
      <w:r>
        <w:t xml:space="preserve">This appendix collects the extended quantitative tables, ablation templates, and failure-analysis material that support the main report.</w:t>
      </w:r>
    </w:p>
    <w:bookmarkStart w:id="220"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5"/>
        </w:numPr>
      </w:pPr>
      <w:r>
        <w:rPr>
          <w:rStyle w:val="VerbatimChar"/>
        </w:rPr>
        <w:t xml:space="preserve">A2 → A3</w:t>
      </w:r>
      <w:r>
        <w:t xml:space="preserve"> </w:t>
      </w:r>
      <w:r>
        <w:t xml:space="preserve">gives a real learned-ordering result worth reporting.</w:t>
      </w:r>
    </w:p>
    <w:p>
      <w:pPr>
        <w:pStyle w:val="Compact"/>
        <w:numPr>
          <w:ilvl w:val="0"/>
          <w:numId w:val="1025"/>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5"/>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20"/>
    <w:bookmarkStart w:id="221" w:name="frontier-candidate-bank-review"/>
    <w:p>
      <w:pPr>
        <w:pStyle w:val="Heading2"/>
      </w:pPr>
      <w:r>
        <w:t xml:space="preserve">Frontier candidate-bank review</w:t>
      </w:r>
    </w:p>
    <w:p>
      <w:pPr>
        <w:pStyle w:val="FirstParagraph"/>
      </w:pPr>
      <w:r>
        <w:t xml:space="preserve">The repo now also contains the measured five-image frontier comparison at</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6"/>
        </w:numPr>
      </w:pPr>
      <w:r>
        <w:rPr>
          <w:rStyle w:val="VerbatimChar"/>
        </w:rPr>
        <w:t xml:space="preserve">LayerForge native</w:t>
      </w:r>
      <w:r>
        <w:t xml:space="preserve"> </w:t>
      </w:r>
      <w:r>
        <w:t xml:space="preserve">is now the strongest overall candidate-bank row by the repo’s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6"/>
        </w:numPr>
      </w:pPr>
      <w:r>
        <w:t xml:space="preserve">the hardened selector no longer lets</w:t>
      </w:r>
      <w:r>
        <w:t xml:space="preserve"> </w:t>
      </w:r>
      <w:r>
        <w:rPr>
          <w:rStyle w:val="VerbatimChar"/>
        </w:rPr>
        <w:t xml:space="preserve">LayerForge peeling</w:t>
      </w:r>
      <w:r>
        <w:t xml:space="preserve"> </w:t>
      </w:r>
      <w:r>
        <w:t xml:space="preserve">win the truck image simply because the recursive removal path is visually dramatic;</w:t>
      </w:r>
    </w:p>
    <w:p>
      <w:pPr>
        <w:pStyle w:val="Compact"/>
        <w:numPr>
          <w:ilvl w:val="0"/>
          <w:numId w:val="1026"/>
        </w:numPr>
      </w:pPr>
      <w:r>
        <w:rPr>
          <w:rStyle w:val="VerbatimChar"/>
        </w:rPr>
        <w:t xml:space="preserve">Qwen + graph reorder</w:t>
      </w:r>
      <w:r>
        <w:t xml:space="preserve"> </w:t>
      </w:r>
      <w:r>
        <w:t xml:space="preserve">now wins the cat image, showing that imported generative stacks can still beat the native path on specific compact scenes;</w:t>
      </w:r>
    </w:p>
    <w:p>
      <w:pPr>
        <w:pStyle w:val="Compact"/>
        <w:numPr>
          <w:ilvl w:val="0"/>
          <w:numId w:val="1026"/>
        </w:numPr>
      </w:pPr>
      <w:r>
        <w:rPr>
          <w:rStyle w:val="VerbatimChar"/>
        </w:rPr>
        <w:t xml:space="preserve">Qwen raw</w:t>
      </w:r>
      <w:r>
        <w:t xml:space="preserve"> </w:t>
      </w:r>
      <w:r>
        <w:t xml:space="preserve">remains the compact frontier generative baseline, but it is no longer the best overall editable representation once structure and editability are scored explicitly.</w:t>
      </w:r>
    </w:p>
    <w:bookmarkEnd w:id="221"/>
    <w:bookmarkStart w:id="222" w:name="editability-suite-snapshot"/>
    <w:p>
      <w:pPr>
        <w:pStyle w:val="Heading2"/>
      </w:pPr>
      <w:r>
        <w:t xml:space="preserve">Editability suite snapshot</w:t>
      </w:r>
    </w:p>
    <w:p>
      <w:pPr>
        <w:pStyle w:val="FirstParagraph"/>
      </w:pPr>
      <w:r>
        <w:t xml:space="preserve">The frontier review is now paired with an editability suite so recomposition fidelity is not the only score that matters.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7"/>
        </w:numPr>
      </w:pPr>
      <w:r>
        <w:t xml:space="preserve">the editability suite is the anti-triviality guardrail for the frontier selector;</w:t>
      </w:r>
    </w:p>
    <w:p>
      <w:pPr>
        <w:pStyle w:val="Compact"/>
        <w:numPr>
          <w:ilvl w:val="0"/>
          <w:numId w:val="1027"/>
        </w:numPr>
      </w:pPr>
      <w:r>
        <w:rPr>
          <w:rStyle w:val="VerbatimChar"/>
        </w:rPr>
        <w:t xml:space="preserve">Qwen raw (4)</w:t>
      </w:r>
      <w:r>
        <w:t xml:space="preserve"> </w:t>
      </w:r>
      <w:r>
        <w:t xml:space="preserve">is the obvious example of why recomposition alone is insufficient, because its remove/move/recolor responses are almost zero while its background-hole ratio is effectively</w:t>
      </w:r>
      <w:r>
        <w:t xml:space="preserve"> </w:t>
      </w:r>
      <w:r>
        <w:rPr>
          <w:rStyle w:val="VerbatimChar"/>
        </w:rPr>
        <w:t xml:space="preserve">1.0</w:t>
      </w:r>
      <w:r>
        <w:t xml:space="preserve">;</w:t>
      </w:r>
    </w:p>
    <w:p>
      <w:pPr>
        <w:pStyle w:val="Compact"/>
        <w:numPr>
          <w:ilvl w:val="0"/>
          <w:numId w:val="1027"/>
        </w:numPr>
      </w:pPr>
      <w:r>
        <w:t xml:space="preserve">the hybrid rows currently post the strongest edit-success scores because imported generative stacks plus explicit LayerForge graph metadata are still easy to move, recolor, and remove cleanly.</w:t>
      </w:r>
    </w:p>
    <w:bookmarkEnd w:id="222"/>
    <w:bookmarkStart w:id="223" w:name="promptable-extraction-benchmark-snapshot"/>
    <w:p>
      <w:pPr>
        <w:pStyle w:val="Heading2"/>
      </w:pPr>
      <w:r>
        <w:t xml:space="preserve">Promptable extraction benchmark snapshot</w:t>
      </w:r>
    </w:p>
    <w:p>
      <w:pPr>
        <w:pStyle w:val="FirstParagraph"/>
      </w:pPr>
      <w:r>
        <w:t xml:space="preserve">The prompt-conditioned extraction path is now measured instead of being only a CLI affordance.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8"/>
        </w:numPr>
      </w:pPr>
      <w:r>
        <w:t xml:space="preserve">text-bearing prompts now hit the intended semantic target on the measured synthetic set;</w:t>
      </w:r>
    </w:p>
    <w:p>
      <w:pPr>
        <w:pStyle w:val="Compact"/>
        <w:numPr>
          <w:ilvl w:val="0"/>
          <w:numId w:val="1028"/>
        </w:numPr>
      </w:pPr>
      <w:r>
        <w:t xml:space="preserve">point-only and box-only prompts still lock onto a neighboring region with high overlap but wrong semantics;</w:t>
      </w:r>
    </w:p>
    <w:p>
      <w:pPr>
        <w:pStyle w:val="Compact"/>
        <w:numPr>
          <w:ilvl w:val="0"/>
          <w:numId w:val="1028"/>
        </w:numPr>
      </w:pPr>
      <w:r>
        <w:t xml:space="preserve">the benchmark is therefore useful because it distinguishes semantic hit rate from overlap and alpha quality.</w:t>
      </w:r>
    </w:p>
    <w:bookmarkEnd w:id="223"/>
    <w:bookmarkStart w:id="224" w:name="transparent-benchmark-snapshot"/>
    <w:p>
      <w:pPr>
        <w:pStyle w:val="Heading2"/>
      </w:pPr>
      <w:r>
        <w:t xml:space="preserve">Transparent benchmark snapshot</w:t>
      </w:r>
    </w:p>
    <w:p>
      <w:pPr>
        <w:pStyle w:val="FirstParagraph"/>
      </w:pPr>
      <w:r>
        <w:t xml:space="preserve">The transparent / alpha-composited recovery path now has a measured synthetic benchmark instead of only a qualitative smoke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9"/>
        </w:numPr>
      </w:pPr>
      <w:r>
        <w:t xml:space="preserve">transparent recomposition is a sanity check here; alpha error and clean-background quality are the primary transparent metrics;</w:t>
      </w:r>
    </w:p>
    <w:p>
      <w:pPr>
        <w:pStyle w:val="Compact"/>
        <w:numPr>
          <w:ilvl w:val="0"/>
          <w:numId w:val="1029"/>
        </w:numPr>
      </w:pPr>
      <w:r>
        <w:t xml:space="preserve">this path should be presented as an approximate transparent-layer recovery mode, not a claim of state-of-the-art generative transparent decomposition;</w:t>
      </w:r>
    </w:p>
    <w:p>
      <w:pPr>
        <w:pStyle w:val="Compact"/>
        <w:numPr>
          <w:ilvl w:val="0"/>
          <w:numId w:val="1029"/>
        </w:numPr>
      </w:pPr>
      <w:r>
        <w:t xml:space="preserve">the current prototype is strongest on flare-like overlays and weakest on the semi-transparent panel variant;</w:t>
      </w:r>
    </w:p>
    <w:p>
      <w:pPr>
        <w:pStyle w:val="Compact"/>
        <w:numPr>
          <w:ilvl w:val="0"/>
          <w:numId w:val="1029"/>
        </w:numPr>
      </w:pPr>
      <w:r>
        <w:t xml:space="preserve">despite that, it is now a measured component and belongs in the report as a frontier-aligned extension.</w:t>
      </w:r>
    </w:p>
    <w:bookmarkEnd w:id="224"/>
    <w:bookmarkStart w:id="225"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25"/>
    <w:bookmarkStart w:id="226"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26"/>
    <w:bookmarkStart w:id="227"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27"/>
    <w:bookmarkStart w:id="228"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8"/>
    <w:bookmarkStart w:id="229"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9"/>
    <w:bookmarkStart w:id="230"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30"/>
    <w:bookmarkStart w:id="231" w:name="appendix-c-command-log"/>
    <w:p>
      <w:pPr>
        <w:pStyle w:val="Heading2"/>
      </w:pPr>
      <w:r>
        <w:t xml:space="preserve">Appendix C: command log</w:t>
      </w:r>
    </w:p>
    <w:p>
      <w:pPr>
        <w:pStyle w:val="Compact"/>
        <w:numPr>
          <w:ilvl w:val="0"/>
          <w:numId w:val="1030"/>
        </w:numPr>
      </w:pPr>
      <w:hyperlink r:id="rId210">
        <w:r>
          <w:rPr>
            <w:rStyle w:val="Hyperlink"/>
          </w:rPr>
          <w:t xml:space="preserve">../../report_artifacts/command_log.md</w:t>
        </w:r>
      </w:hyperlink>
    </w:p>
    <w:bookmarkEnd w:id="231"/>
    <w:bookmarkStart w:id="234" w:name="appendix-d-extra-literature-notes"/>
    <w:p>
      <w:pPr>
        <w:pStyle w:val="Heading2"/>
      </w:pPr>
      <w:r>
        <w:t xml:space="preserve">Appendix D: extra literature notes</w:t>
      </w:r>
    </w:p>
    <w:p>
      <w:pPr>
        <w:pStyle w:val="Compact"/>
        <w:numPr>
          <w:ilvl w:val="0"/>
          <w:numId w:val="1031"/>
        </w:numPr>
      </w:pPr>
      <w:hyperlink r:id="rId232">
        <w:r>
          <w:rPr>
            <w:rStyle w:val="Hyperlink"/>
          </w:rPr>
          <w:t xml:space="preserve">../LITERATURE_REVIEW.md</w:t>
        </w:r>
      </w:hyperlink>
    </w:p>
    <w:p>
      <w:pPr>
        <w:pStyle w:val="Compact"/>
        <w:numPr>
          <w:ilvl w:val="0"/>
          <w:numId w:val="1031"/>
        </w:numPr>
      </w:pPr>
      <w:hyperlink r:id="rId233">
        <w:r>
          <w:rPr>
            <w:rStyle w:val="Hyperlink"/>
          </w:rPr>
          <w:t xml:space="preserve">../REFERENCES.md</w:t>
        </w:r>
      </w:hyperlink>
    </w:p>
    <w:bookmarkEnd w:id="234"/>
    <w:bookmarkEnd w:id="2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hyperlink" Id="rId206" Target="../../PROJECT_MANIFEST.json" TargetMode="External" /><Relationship Type="http://schemas.openxmlformats.org/officeDocument/2006/relationships/hyperlink" Id="rId207" Target="../../report_artifacts/README.md" TargetMode="External" /><Relationship Type="http://schemas.openxmlformats.org/officeDocument/2006/relationships/hyperlink" Id="rId210" Target="../../report_artifacts/command_log.md" TargetMode="External" /><Relationship Type="http://schemas.openxmlformats.org/officeDocument/2006/relationships/hyperlink" Id="rId209" Target="../../report_artifacts/figure_sources/figure_manifest.json" TargetMode="External" /><Relationship Type="http://schemas.openxmlformats.org/officeDocument/2006/relationships/hyperlink" Id="rId208" Target="../../report_artifacts/metrics_snapshots" TargetMode="External" /><Relationship Type="http://schemas.openxmlformats.org/officeDocument/2006/relationships/hyperlink" Id="rId214" Target="../FIGURES.md" TargetMode="External" /><Relationship Type="http://schemas.openxmlformats.org/officeDocument/2006/relationships/hyperlink" Id="rId232" Target="../LITERATURE_REVIEW.md" TargetMode="External" /><Relationship Type="http://schemas.openxmlformats.org/officeDocument/2006/relationships/hyperlink" Id="rId215" Target="../PRODUCT_ARCHITECTURE_AND_LAUNCH.md" TargetMode="External" /><Relationship Type="http://schemas.openxmlformats.org/officeDocument/2006/relationships/hyperlink" Id="rId212" Target="../QWEN_IMAGE_LAYERED_COMPARISON.md" TargetMode="External" /><Relationship Type="http://schemas.openxmlformats.org/officeDocument/2006/relationships/hyperlink" Id="rId233" Target="../REFERENCES.md" TargetMode="External" /><Relationship Type="http://schemas.openxmlformats.org/officeDocument/2006/relationships/hyperlink" Id="rId213" Target="../REPORT_TABLES.md" TargetMode="External" /><Relationship Type="http://schemas.openxmlformats.org/officeDocument/2006/relationships/hyperlink" Id="rId211" Target="../RESULTS_SUMMARY_CURRENT.md" TargetMode="External" /><Relationship Type="http://schemas.openxmlformats.org/officeDocument/2006/relationships/hyperlink" Id="rId216" Target="../api/openapi.yaml" TargetMode="External" /><Relationship Type="http://schemas.openxmlformats.org/officeDocument/2006/relationships/hyperlink" Id="rId202" Target="02_BENCHMARKING_PROTOCOL.md" TargetMode="External" /><Relationship Type="http://schemas.openxmlformats.org/officeDocument/2006/relationships/hyperlink" Id="rId201"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206" Target="../../PROJECT_MANIFEST.json" TargetMode="External" /><Relationship Type="http://schemas.openxmlformats.org/officeDocument/2006/relationships/hyperlink" Id="rId207" Target="../../report_artifacts/README.md" TargetMode="External" /><Relationship Type="http://schemas.openxmlformats.org/officeDocument/2006/relationships/hyperlink" Id="rId210" Target="../../report_artifacts/command_log.md" TargetMode="External" /><Relationship Type="http://schemas.openxmlformats.org/officeDocument/2006/relationships/hyperlink" Id="rId209" Target="../../report_artifacts/figure_sources/figure_manifest.json" TargetMode="External" /><Relationship Type="http://schemas.openxmlformats.org/officeDocument/2006/relationships/hyperlink" Id="rId208" Target="../../report_artifacts/metrics_snapshots" TargetMode="External" /><Relationship Type="http://schemas.openxmlformats.org/officeDocument/2006/relationships/hyperlink" Id="rId214" Target="../FIGURES.md" TargetMode="External" /><Relationship Type="http://schemas.openxmlformats.org/officeDocument/2006/relationships/hyperlink" Id="rId232" Target="../LITERATURE_REVIEW.md" TargetMode="External" /><Relationship Type="http://schemas.openxmlformats.org/officeDocument/2006/relationships/hyperlink" Id="rId215" Target="../PRODUCT_ARCHITECTURE_AND_LAUNCH.md" TargetMode="External" /><Relationship Type="http://schemas.openxmlformats.org/officeDocument/2006/relationships/hyperlink" Id="rId212" Target="../QWEN_IMAGE_LAYERED_COMPARISON.md" TargetMode="External" /><Relationship Type="http://schemas.openxmlformats.org/officeDocument/2006/relationships/hyperlink" Id="rId233" Target="../REFERENCES.md" TargetMode="External" /><Relationship Type="http://schemas.openxmlformats.org/officeDocument/2006/relationships/hyperlink" Id="rId213" Target="../REPORT_TABLES.md" TargetMode="External" /><Relationship Type="http://schemas.openxmlformats.org/officeDocument/2006/relationships/hyperlink" Id="rId211" Target="../RESULTS_SUMMARY_CURRENT.md" TargetMode="External" /><Relationship Type="http://schemas.openxmlformats.org/officeDocument/2006/relationships/hyperlink" Id="rId216" Target="../api/openapi.yaml" TargetMode="External" /><Relationship Type="http://schemas.openxmlformats.org/officeDocument/2006/relationships/hyperlink" Id="rId202" Target="02_BENCHMARKING_PROTOCOL.md" TargetMode="External" /><Relationship Type="http://schemas.openxmlformats.org/officeDocument/2006/relationships/hyperlink" Id="rId201"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2026-04-23T07:32:22Z</dcterms:created>
  <dcterms:modified xsi:type="dcterms:W3CDTF">2026-04-23T07:32:22Z</dcterms:modified>
</cp:coreProperties>
</file>

<file path=docProps/custom.xml><?xml version="1.0" encoding="utf-8"?>
<Properties xmlns="http://schemas.openxmlformats.org/officeDocument/2006/custom-properties" xmlns:vt="http://schemas.openxmlformats.org/officeDocument/2006/docPropsVTypes"/>
</file>