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rFonts w:ascii="Times New Roman" w:cs="Times New Roman" w:hAnsi="Times New Roman"/>
          <w:b/>
          <w:lang w:val="es-NI"/>
        </w:rPr>
      </w:pPr>
      <w:bookmarkStart w:id="0" w:name="_GoBack"/>
      <w:bookmarkEnd w:id="0"/>
      <w:r>
        <w:rPr>
          <w:rFonts w:ascii="Times New Roman" w:cs="Times New Roman" w:hAnsi="Times New Roman"/>
          <w:b/>
          <w:lang w:val="es-NI"/>
        </w:rPr>
        <w:drawing>
          <wp:inline distT="0" distB="0" distL="0" distR="0">
            <wp:extent cx="1619250" cy="1847850"/>
            <wp:effectExtent l="0" t="0" r="0" b="0"/>
            <wp:docPr id="1" name="Imágenes 1"/>
            <wp:cNvGraphicFramePr>
              <a:graphicFrameLocks noChangeAspect="1"/>
            </wp:cNvGraphicFramePr>
            <a:graphic>
              <a:graphicData uri="http://schemas.openxmlformats.org/drawingml/2006/picture">
                <pic:pic>
                  <pic:nvPicPr>
                    <pic:cNvPr id="3" name="Imágenes 3"/>
                    <pic:cNvPicPr/>
                  </pic:nvPicPr>
                  <pic:blipFill>
                    <a:blip r:embed="rId2"/>
                    <a:stretch>
                      <a:fillRect/>
                    </a:stretch>
                  </pic:blipFill>
                  <pic:spPr>
                    <a:xfrm rot="0">
                      <a:off x="0" y="0"/>
                      <a:ext cx="1619250" cy="1847850"/>
                    </a:xfrm>
                    <a:prstGeom prst="rect"/>
                    <a:noFill/>
                    <a:ln w="12700" cmpd="sng" cap="flat">
                      <a:noFill/>
                      <a:prstDash val="solid"/>
                      <a:round/>
                    </a:ln>
                  </pic:spPr>
                </pic:pic>
              </a:graphicData>
            </a:graphic>
          </wp:inline>
        </w:drawing>
      </w:r>
    </w:p>
    <w:p>
      <w:pPr>
        <w:jc w:val="center"/>
        <w:rPr>
          <w:rFonts w:ascii="Times New Roman" w:cs="Times New Roman" w:hAnsi="Times New Roman"/>
          <w:b/>
          <w:lang w:val="es-NI"/>
        </w:rPr>
      </w:pPr>
      <w:r>
        <w:rPr>
          <w:rFonts w:ascii="Times New Roman" w:cs="Times New Roman" w:hAnsi="Times New Roman"/>
          <w:b/>
          <w:lang w:val="es-NI"/>
        </w:rPr>
        <w:t>UNIVERSIDAD NACIONAL AUTÓNOMA DE NICARAGUA, MANAGUA</w:t>
      </w:r>
    </w:p>
    <w:p>
      <w:pPr>
        <w:jc w:val="center"/>
        <w:rPr>
          <w:rFonts w:ascii="Times New Roman" w:cs="Times New Roman" w:hAnsi="Times New Roman"/>
          <w:b/>
          <w:lang w:val="es-NI"/>
        </w:rPr>
      </w:pPr>
      <w:r>
        <w:rPr>
          <w:rFonts w:ascii="Times New Roman" w:cs="Times New Roman" w:hAnsi="Times New Roman"/>
          <w:b/>
          <w:lang w:val="es-NI"/>
        </w:rPr>
        <w:t>CENTRO UNIVERSITARIO REGIONAL DE CARAZO</w:t>
      </w:r>
    </w:p>
    <w:p>
      <w:pPr>
        <w:jc w:val="center"/>
        <w:rPr>
          <w:rFonts w:ascii="Times New Roman" w:cs="Times New Roman" w:hAnsi="Times New Roman"/>
          <w:b/>
          <w:lang w:val="es-NI"/>
        </w:rPr>
      </w:pPr>
      <w:r>
        <w:rPr>
          <w:rFonts w:ascii="Times New Roman" w:cs="Times New Roman" w:hAnsi="Times New Roman"/>
          <w:b/>
          <w:lang w:val="es-NI"/>
        </w:rPr>
        <w:t>DEPARTAMENTO DE CIENCIAS TECNOLÓGICAS Y SALUD</w:t>
      </w:r>
    </w:p>
    <w:p>
      <w:pPr>
        <w:jc w:val="center"/>
        <w:rPr>
          <w:rFonts w:ascii="Times New Roman" w:cs="Times New Roman" w:hAnsi="Times New Roman"/>
          <w:b/>
          <w:lang w:val="es-NI"/>
        </w:rPr>
      </w:pPr>
    </w:p>
    <w:p>
      <w:pPr>
        <w:jc w:val="center"/>
        <w:rPr>
          <w:rFonts w:ascii="Times New Roman" w:cs="Times New Roman" w:hAnsi="Times New Roman"/>
          <w:b/>
          <w:lang w:val="es-NI"/>
        </w:rPr>
      </w:pPr>
      <w:r>
        <w:rPr>
          <w:rFonts w:ascii="Times New Roman" w:cs="Times New Roman" w:hAnsi="Times New Roman"/>
          <w:b/>
          <w:lang w:val="es-NI"/>
        </w:rPr>
        <w:t>“2026: Universidad Gratuita y de Calidad para seguir en Victorias”</w:t>
      </w:r>
    </w:p>
    <w:p>
      <w:pPr>
        <w:jc w:val="center"/>
        <w:rPr>
          <w:rFonts w:ascii="Times New Roman" w:cs="Times New Roman" w:hAnsi="Times New Roman"/>
          <w:sz w:val="21"/>
          <w:lang w:val="es-ES"/>
        </w:rPr>
      </w:pPr>
      <w:r>
        <w:rPr>
          <w:rFonts w:ascii="Times New Roman" w:cs="Times New Roman" w:hAnsi="Times New Roman"/>
          <w:b/>
          <w:lang w:val="es-ES"/>
        </w:rPr>
        <w:br/>
        <w:br/>
      </w:r>
      <w:r>
        <w:rPr>
          <w:rFonts w:ascii="Times New Roman" w:cs="Times New Roman" w:hAnsi="Times New Roman"/>
          <w:b/>
          <w:sz w:val="32"/>
          <w:lang w:val="es-ES"/>
        </w:rPr>
        <w:t>MARCO DE GOBIERNO DE DATOS V2</w:t>
      </w:r>
      <w:r>
        <w:rPr>
          <w:rFonts w:ascii="Times New Roman" w:cs="Times New Roman" w:hAnsi="Times New Roman"/>
          <w:b/>
          <w:color w:val="1A365D"/>
          <w:sz w:val="32"/>
          <w:lang w:val="es-ES"/>
        </w:rPr>
        <w:br/>
      </w:r>
      <w:r>
        <w:rPr>
          <w:rFonts w:ascii="Times New Roman" w:cs="Times New Roman" w:hAnsi="Times New Roman"/>
          <w:sz w:val="21"/>
          <w:lang w:val="es-ES"/>
        </w:rPr>
        <w:t xml:space="preserve">Caso Organizacional: RápidoPacífico Logística </w:t>
        <w:br/>
        <w:t>Componente Curricular: Optativa IV – Gobierno de Datos</w:t>
        <w:br/>
        <w:br/>
        <w:t>Estudiantes:</w:t>
        <w:br/>
        <w:t>José Marcelo Padilla Vásquez</w:t>
        <w:br/>
        <w:t>Oscar Salvador Téllez Jiménez</w:t>
        <w:br/>
        <w:t>Oscar Gabriel Gutiérrez Mendoza</w:t>
        <w:br/>
        <w:br/>
        <w:t>Docente: Eddy Galán</w:t>
        <w:br/>
        <w:t>Fecha: 27 de septiembre del 2026</w:t>
      </w:r>
    </w:p>
    <w:p>
      <w:pPr>
        <w:jc w:val="center"/>
        <w:rPr>
          <w:rFonts w:ascii="Times New Roman" w:cs="Times New Roman" w:hAnsi="Times New Roman"/>
          <w:sz w:val="21"/>
          <w:lang w:val="es-ES"/>
        </w:rPr>
      </w:pPr>
    </w:p>
    <w:p>
      <w:pPr>
        <w:jc w:val="center"/>
        <w:rPr>
          <w:rFonts w:ascii="Times New Roman" w:cs="Times New Roman" w:hAnsi="Times New Roman"/>
          <w:sz w:val="21"/>
          <w:lang w:val="es-ES"/>
        </w:rPr>
      </w:pPr>
    </w:p>
    <w:p>
      <w:pPr>
        <w:jc w:val="center"/>
        <w:rPr>
          <w:rFonts w:ascii="Times New Roman" w:cs="Times New Roman" w:hAnsi="Times New Roman"/>
          <w:sz w:val="21"/>
          <w:lang w:val="es-ES"/>
        </w:rPr>
      </w:pPr>
    </w:p>
    <w:p>
      <w:pPr>
        <w:jc w:val="center"/>
        <w:rPr>
          <w:rFonts w:ascii="Times New Roman" w:cs="Times New Roman" w:hAnsi="Times New Roman"/>
          <w:sz w:val="21"/>
          <w:lang w:val="es-ES"/>
        </w:rPr>
      </w:pPr>
    </w:p>
    <w:p>
      <w:pPr>
        <w:jc w:val="center"/>
        <w:rPr>
          <w:rFonts w:ascii="Times New Roman" w:cs="Times New Roman" w:hAnsi="Times New Roman"/>
          <w:sz w:val="21"/>
          <w:lang w:val="es-ES"/>
        </w:rPr>
      </w:pPr>
    </w:p>
    <w:p>
      <w:pPr>
        <w:jc w:val="center"/>
        <w:rPr>
          <w:rFonts w:ascii="Times New Roman" w:cs="Times New Roman" w:hAnsi="Times New Roman"/>
          <w:lang w:val="es-ES"/>
        </w:rPr>
      </w:pPr>
      <w:r>
        <w:rPr>
          <w:rFonts w:ascii="Times New Roman" w:cs="Times New Roman" w:hAnsi="Times New Roman"/>
          <w:sz w:val="21"/>
          <w:lang w:val="es-ES"/>
        </w:rPr>
        <w:br/>
        <w:br/>
      </w:r>
    </w:p>
    <w:p>
      <w:pPr>
        <w:pStyle w:val="1"/>
        <w:numPr>
          <w:ilvl w:val="0"/>
          <w:numId w:val="1"/>
        </w:numPr>
        <w:rPr>
          <w:rFonts w:ascii="Times New Roman" w:cs="Times New Roman" w:hAnsi="Times New Roman"/>
          <w:color w:val="000000"/>
          <w:sz w:val="24"/>
          <w:szCs w:val="24"/>
          <w:lang w:val="es-NI"/>
        </w:rPr>
      </w:pPr>
      <w:r>
        <w:rPr>
          <w:rFonts w:ascii="Times New Roman" w:cs="Times New Roman" w:hAnsi="Times New Roman"/>
          <w:color w:val="000000"/>
          <w:sz w:val="24"/>
          <w:szCs w:val="24"/>
          <w:lang w:val="es-NI"/>
        </w:rPr>
        <w:t>Propósito del Marco de Gobierno de Datos V2</w:t>
      </w:r>
    </w:p>
    <w:p>
      <w:pPr>
        <w:rPr>
          <w:rFonts w:ascii="Times New Roman" w:cs="Times New Roman" w:hAnsi="Times New Roman"/>
          <w:sz w:val="20"/>
          <w:szCs w:val="20"/>
          <w:lang w:val="es-NI"/>
        </w:rPr>
      </w:pPr>
      <w:r>
        <w:rPr>
          <w:rFonts w:ascii="Times New Roman" w:cs="Times New Roman" w:hAnsi="Times New Roman"/>
          <w:sz w:val="20"/>
          <w:szCs w:val="20"/>
          <w:lang w:val="es-NI"/>
        </w:rPr>
        <w:t>El presente documento integra y mejora los productos desarrollados durante el primer corte, aplicándolos al caso de RápidoPacífico Logística. El Marco V2 busca establecer una relación coherente entre el problema organizacional, el proceso analítico, los datos requeridos, los riesgos, responsables, políticas, reglas, controles y mecanismos de trazabilidad. La finalidad es que los datos utilizados para analizar el cumplimiento del SLA sean identificables, confiables, protegidos, trazables y útiles para la toma de decisiones.</w:t>
      </w:r>
    </w:p>
    <w:p>
      <w:pPr>
        <w:pStyle w:val="1"/>
        <w:numPr>
          <w:ilvl w:val="0"/>
          <w:numId w:val="1"/>
        </w:numPr>
        <w:rPr>
          <w:rFonts w:ascii="Times New Roman" w:cs="Times New Roman" w:hAnsi="Times New Roman"/>
          <w:color w:val="000000"/>
          <w:sz w:val="22"/>
          <w:szCs w:val="22"/>
          <w:lang w:val="es-NI"/>
        </w:rPr>
      </w:pPr>
      <w:r>
        <w:rPr>
          <w:rFonts w:ascii="Times New Roman" w:cs="Times New Roman" w:hAnsi="Times New Roman"/>
          <w:color w:val="000000"/>
          <w:sz w:val="22"/>
          <w:szCs w:val="22"/>
          <w:lang w:val="es-NI"/>
        </w:rPr>
        <w:t>Secuencia que demuestra el Marco V2</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4685"/>
        <w:gridCol w:w="4685"/>
      </w:tblGrid>
      <w:tr>
        <w:tc>
          <w:tcPr>
            <w:tcW w:w="4968" w:type="dxa"/>
            <w:shd w:val="clear" w:color="auto" w:fill="B7D7F0"/>
            <w:vAlign w:val="center"/>
          </w:tcPr>
          <w:p>
            <w:pPr>
              <w:rPr>
                <w:rFonts w:ascii="Times New Roman" w:cs="Times New Roman" w:hAnsi="Times New Roman"/>
                <w:sz w:val="20"/>
                <w:szCs w:val="20"/>
              </w:rPr>
            </w:pPr>
            <w:r>
              <w:rPr>
                <w:rFonts w:ascii="Times New Roman" w:cs="Times New Roman" w:hAnsi="Times New Roman"/>
                <w:b/>
                <w:sz w:val="20"/>
                <w:szCs w:val="20"/>
              </w:rPr>
              <w:t>Etapa</w:t>
            </w:r>
          </w:p>
        </w:tc>
        <w:tc>
          <w:tcPr>
            <w:tcW w:w="4968" w:type="dxa"/>
            <w:shd w:val="clear" w:color="auto" w:fill="B7D7F0"/>
            <w:vAlign w:val="center"/>
          </w:tcPr>
          <w:p>
            <w:pPr>
              <w:rPr>
                <w:rFonts w:ascii="Times New Roman" w:cs="Times New Roman" w:hAnsi="Times New Roman"/>
                <w:sz w:val="20"/>
                <w:szCs w:val="20"/>
              </w:rPr>
            </w:pPr>
            <w:r>
              <w:rPr>
                <w:rFonts w:ascii="Times New Roman" w:cs="Times New Roman" w:hAnsi="Times New Roman"/>
                <w:b/>
                <w:sz w:val="20"/>
                <w:szCs w:val="20"/>
              </w:rPr>
              <w:t>Aplicación al caso RápidoPacífico</w:t>
            </w:r>
          </w:p>
        </w:tc>
      </w:tr>
      <w:tr>
        <w:tc>
          <w:tcPr>
            <w:tcW w:w="4968" w:type="dxa"/>
            <w:vAlign w:val="center"/>
          </w:tcPr>
          <w:p>
            <w:pPr>
              <w:rPr>
                <w:rFonts w:ascii="Times New Roman" w:cs="Times New Roman" w:hAnsi="Times New Roman"/>
                <w:sz w:val="20"/>
                <w:szCs w:val="20"/>
              </w:rPr>
            </w:pPr>
            <w:r>
              <w:rPr>
                <w:rFonts w:ascii="Times New Roman" w:cs="Times New Roman" w:hAnsi="Times New Roman"/>
                <w:sz w:val="20"/>
                <w:szCs w:val="20"/>
              </w:rPr>
              <w:t>1. Objetivos de la organización</w:t>
            </w:r>
          </w:p>
        </w:tc>
        <w:tc>
          <w:tcPr>
            <w:tcW w:w="4968" w:type="dxa"/>
            <w:vAlign w:val="center"/>
          </w:tcPr>
          <w:p>
            <w:pPr>
              <w:rPr>
                <w:rFonts w:ascii="Times New Roman" w:cs="Times New Roman" w:hAnsi="Times New Roman"/>
                <w:sz w:val="20"/>
                <w:szCs w:val="20"/>
                <w:lang w:val="es-NI"/>
              </w:rPr>
            </w:pPr>
            <w:r>
              <w:rPr>
                <w:rFonts w:ascii="Times New Roman" w:cs="Times New Roman" w:hAnsi="Times New Roman"/>
                <w:sz w:val="20"/>
                <w:szCs w:val="20"/>
                <w:lang w:val="es-NI"/>
              </w:rPr>
              <w:t>Mejorar el cumplimiento de los plazos de entrega comprometidos (SLA).</w:t>
            </w:r>
          </w:p>
        </w:tc>
      </w:tr>
      <w:tr>
        <w:tc>
          <w:tcPr>
            <w:tcW w:w="4968" w:type="dxa"/>
            <w:vAlign w:val="center"/>
          </w:tcPr>
          <w:p>
            <w:pPr>
              <w:rPr>
                <w:rFonts w:ascii="Times New Roman" w:cs="Times New Roman" w:hAnsi="Times New Roman"/>
                <w:sz w:val="20"/>
                <w:szCs w:val="20"/>
              </w:rPr>
            </w:pPr>
            <w:r>
              <w:rPr>
                <w:rFonts w:ascii="Times New Roman" w:cs="Times New Roman" w:hAnsi="Times New Roman"/>
                <w:sz w:val="20"/>
                <w:szCs w:val="20"/>
              </w:rPr>
              <w:t>2. Proceso analítico</w:t>
            </w:r>
          </w:p>
        </w:tc>
        <w:tc>
          <w:tcPr>
            <w:tcW w:w="4968" w:type="dxa"/>
            <w:vAlign w:val="center"/>
          </w:tcPr>
          <w:p>
            <w:pPr>
              <w:rPr>
                <w:rFonts w:ascii="Times New Roman" w:cs="Times New Roman" w:hAnsi="Times New Roman"/>
                <w:sz w:val="20"/>
                <w:szCs w:val="20"/>
                <w:lang w:val="es-NI"/>
              </w:rPr>
            </w:pPr>
            <w:r>
              <w:rPr>
                <w:rFonts w:ascii="Times New Roman" w:cs="Times New Roman" w:hAnsi="Times New Roman"/>
                <w:sz w:val="20"/>
                <w:szCs w:val="20"/>
                <w:lang w:val="es-NI"/>
              </w:rPr>
              <w:t>Analizar los registros de entregas para identificar incumplimientos y patrones por zona, servicio y franja.</w:t>
            </w:r>
          </w:p>
        </w:tc>
      </w:tr>
      <w:tr>
        <w:tc>
          <w:tcPr>
            <w:tcW w:w="4968" w:type="dxa"/>
            <w:vAlign w:val="center"/>
          </w:tcPr>
          <w:p>
            <w:pPr>
              <w:rPr>
                <w:rFonts w:ascii="Times New Roman" w:cs="Times New Roman" w:hAnsi="Times New Roman"/>
                <w:sz w:val="20"/>
                <w:szCs w:val="20"/>
              </w:rPr>
            </w:pPr>
            <w:r>
              <w:rPr>
                <w:rFonts w:ascii="Times New Roman" w:cs="Times New Roman" w:hAnsi="Times New Roman"/>
                <w:sz w:val="20"/>
                <w:szCs w:val="20"/>
              </w:rPr>
              <w:t>3. Datos necesarios</w:t>
            </w:r>
          </w:p>
        </w:tc>
        <w:tc>
          <w:tcPr>
            <w:tcW w:w="4968" w:type="dxa"/>
            <w:vAlign w:val="center"/>
          </w:tcPr>
          <w:p>
            <w:pPr>
              <w:rPr>
                <w:rFonts w:ascii="Times New Roman" w:cs="Times New Roman" w:hAnsi="Times New Roman"/>
                <w:sz w:val="20"/>
                <w:szCs w:val="20"/>
                <w:lang w:val="es-NI"/>
              </w:rPr>
            </w:pPr>
            <w:r>
              <w:rPr>
                <w:rFonts w:ascii="Times New Roman" w:cs="Times New Roman" w:hAnsi="Times New Roman"/>
                <w:sz w:val="20"/>
                <w:szCs w:val="20"/>
                <w:lang w:val="es-NI"/>
              </w:rPr>
              <w:t>Guías, resultado SLA, zona, servicio, franja horaria, fechas, ruta, distancia, intentos y paradas, entre otros datos del proceso.</w:t>
            </w:r>
          </w:p>
        </w:tc>
      </w:tr>
      <w:tr>
        <w:tc>
          <w:tcPr>
            <w:tcW w:w="4968" w:type="dxa"/>
            <w:vAlign w:val="center"/>
          </w:tcPr>
          <w:p>
            <w:pPr>
              <w:rPr>
                <w:rFonts w:ascii="Times New Roman" w:cs="Times New Roman" w:hAnsi="Times New Roman"/>
                <w:sz w:val="20"/>
                <w:szCs w:val="20"/>
              </w:rPr>
            </w:pPr>
            <w:r>
              <w:rPr>
                <w:rFonts w:ascii="Times New Roman" w:cs="Times New Roman" w:hAnsi="Times New Roman"/>
                <w:sz w:val="20"/>
                <w:szCs w:val="20"/>
              </w:rPr>
              <w:t>4. Riesgos asociados</w:t>
            </w:r>
          </w:p>
        </w:tc>
        <w:tc>
          <w:tcPr>
            <w:tcW w:w="4968" w:type="dxa"/>
            <w:vAlign w:val="center"/>
          </w:tcPr>
          <w:p>
            <w:pPr>
              <w:rPr>
                <w:rFonts w:ascii="Times New Roman" w:cs="Times New Roman" w:hAnsi="Times New Roman"/>
                <w:sz w:val="20"/>
                <w:szCs w:val="20"/>
                <w:lang w:val="es-NI"/>
              </w:rPr>
            </w:pPr>
            <w:r>
              <w:rPr>
                <w:rFonts w:ascii="Times New Roman" w:cs="Times New Roman" w:hAnsi="Times New Roman"/>
                <w:sz w:val="20"/>
                <w:szCs w:val="20"/>
                <w:lang w:val="es-NI"/>
              </w:rPr>
              <w:t>Nulos, duplicados, categorías no estandarizadas, valores fuera de rango, cargas tardías y falta de consolidación.</w:t>
            </w:r>
          </w:p>
        </w:tc>
      </w:tr>
      <w:tr>
        <w:tc>
          <w:tcPr>
            <w:tcW w:w="4968" w:type="dxa"/>
            <w:vAlign w:val="center"/>
          </w:tcPr>
          <w:p>
            <w:pPr>
              <w:rPr>
                <w:rFonts w:ascii="Times New Roman" w:cs="Times New Roman" w:hAnsi="Times New Roman"/>
                <w:sz w:val="20"/>
                <w:szCs w:val="20"/>
              </w:rPr>
            </w:pPr>
            <w:r>
              <w:rPr>
                <w:rFonts w:ascii="Times New Roman" w:cs="Times New Roman" w:hAnsi="Times New Roman"/>
                <w:sz w:val="20"/>
                <w:szCs w:val="20"/>
              </w:rPr>
              <w:t>5. Responsables</w:t>
            </w:r>
          </w:p>
        </w:tc>
        <w:tc>
          <w:tcPr>
            <w:tcW w:w="4968" w:type="dxa"/>
            <w:vAlign w:val="center"/>
          </w:tcPr>
          <w:p>
            <w:pPr>
              <w:rPr>
                <w:rFonts w:ascii="Times New Roman" w:cs="Times New Roman" w:hAnsi="Times New Roman"/>
                <w:sz w:val="20"/>
                <w:szCs w:val="20"/>
                <w:lang w:val="es-NI"/>
              </w:rPr>
            </w:pPr>
            <w:r>
              <w:rPr>
                <w:rFonts w:ascii="Times New Roman" w:cs="Times New Roman" w:hAnsi="Times New Roman"/>
                <w:sz w:val="20"/>
                <w:szCs w:val="20"/>
                <w:lang w:val="es-NI"/>
              </w:rPr>
              <w:t>Planificación, Operaciones, TI, Data Owner, Data Steward, Data Custodian y usuarios del proceso.</w:t>
            </w:r>
          </w:p>
        </w:tc>
      </w:tr>
      <w:tr>
        <w:tc>
          <w:tcPr>
            <w:tcW w:w="4968" w:type="dxa"/>
            <w:vAlign w:val="center"/>
          </w:tcPr>
          <w:p>
            <w:pPr>
              <w:rPr>
                <w:rFonts w:ascii="Times New Roman" w:cs="Times New Roman" w:hAnsi="Times New Roman"/>
                <w:sz w:val="20"/>
                <w:szCs w:val="20"/>
              </w:rPr>
            </w:pPr>
            <w:r>
              <w:rPr>
                <w:rFonts w:ascii="Times New Roman" w:cs="Times New Roman" w:hAnsi="Times New Roman"/>
                <w:sz w:val="20"/>
                <w:szCs w:val="20"/>
              </w:rPr>
              <w:t>6. Políticas</w:t>
            </w:r>
          </w:p>
        </w:tc>
        <w:tc>
          <w:tcPr>
            <w:tcW w:w="4968" w:type="dxa"/>
            <w:vAlign w:val="center"/>
          </w:tcPr>
          <w:p>
            <w:pPr>
              <w:rPr>
                <w:rFonts w:ascii="Times New Roman" w:cs="Times New Roman" w:hAnsi="Times New Roman"/>
                <w:sz w:val="20"/>
                <w:szCs w:val="20"/>
                <w:lang w:val="es-NI"/>
              </w:rPr>
            </w:pPr>
            <w:r>
              <w:rPr>
                <w:rFonts w:ascii="Times New Roman" w:cs="Times New Roman" w:hAnsi="Times New Roman"/>
                <w:sz w:val="20"/>
                <w:szCs w:val="20"/>
                <w:lang w:val="es-NI"/>
              </w:rPr>
              <w:t>Calidad, estandarización, trazabilidad, acceso y control de datos.</w:t>
            </w:r>
          </w:p>
        </w:tc>
      </w:tr>
      <w:tr>
        <w:tc>
          <w:tcPr>
            <w:tcW w:w="4968" w:type="dxa"/>
            <w:vAlign w:val="center"/>
          </w:tcPr>
          <w:p>
            <w:pPr>
              <w:rPr>
                <w:rFonts w:ascii="Times New Roman" w:cs="Times New Roman" w:hAnsi="Times New Roman"/>
                <w:sz w:val="20"/>
                <w:szCs w:val="20"/>
              </w:rPr>
            </w:pPr>
            <w:r>
              <w:rPr>
                <w:rFonts w:ascii="Times New Roman" w:cs="Times New Roman" w:hAnsi="Times New Roman"/>
                <w:sz w:val="20"/>
                <w:szCs w:val="20"/>
              </w:rPr>
              <w:t>7. Reglas</w:t>
            </w:r>
          </w:p>
        </w:tc>
        <w:tc>
          <w:tcPr>
            <w:tcW w:w="4968" w:type="dxa"/>
            <w:vAlign w:val="center"/>
          </w:tcPr>
          <w:p>
            <w:pPr>
              <w:rPr>
                <w:rFonts w:ascii="Times New Roman" w:cs="Times New Roman" w:hAnsi="Times New Roman"/>
                <w:sz w:val="20"/>
                <w:szCs w:val="20"/>
                <w:lang w:val="es-NI"/>
              </w:rPr>
            </w:pPr>
            <w:r>
              <w:rPr>
                <w:rFonts w:ascii="Times New Roman" w:cs="Times New Roman" w:hAnsi="Times New Roman"/>
                <w:sz w:val="20"/>
                <w:szCs w:val="20"/>
                <w:lang w:val="es-NI"/>
              </w:rPr>
              <w:t>Validaciones concretas derivadas de las políticas.</w:t>
            </w:r>
          </w:p>
        </w:tc>
      </w:tr>
      <w:tr>
        <w:tc>
          <w:tcPr>
            <w:tcW w:w="4968" w:type="dxa"/>
            <w:vAlign w:val="center"/>
          </w:tcPr>
          <w:p>
            <w:pPr>
              <w:rPr>
                <w:rFonts w:ascii="Times New Roman" w:cs="Times New Roman" w:hAnsi="Times New Roman"/>
                <w:sz w:val="20"/>
                <w:szCs w:val="20"/>
              </w:rPr>
            </w:pPr>
            <w:r>
              <w:rPr>
                <w:rFonts w:ascii="Times New Roman" w:cs="Times New Roman" w:hAnsi="Times New Roman"/>
                <w:sz w:val="20"/>
                <w:szCs w:val="20"/>
              </w:rPr>
              <w:t>8. Controles</w:t>
            </w:r>
          </w:p>
        </w:tc>
        <w:tc>
          <w:tcPr>
            <w:tcW w:w="4968" w:type="dxa"/>
            <w:vAlign w:val="center"/>
          </w:tcPr>
          <w:p>
            <w:pPr>
              <w:rPr>
                <w:rFonts w:ascii="Times New Roman" w:cs="Times New Roman" w:hAnsi="Times New Roman"/>
                <w:sz w:val="20"/>
                <w:szCs w:val="20"/>
                <w:lang w:val="es-NI"/>
              </w:rPr>
            </w:pPr>
            <w:r>
              <w:rPr>
                <w:rFonts w:ascii="Times New Roman" w:cs="Times New Roman" w:hAnsi="Times New Roman"/>
                <w:sz w:val="20"/>
                <w:szCs w:val="20"/>
                <w:lang w:val="es-NI"/>
              </w:rPr>
              <w:t>Validaciones de campos, catálogos, permisos, alertas y conciliación.</w:t>
            </w:r>
          </w:p>
        </w:tc>
      </w:tr>
      <w:tr>
        <w:tc>
          <w:tcPr>
            <w:tcW w:w="4968" w:type="dxa"/>
            <w:vAlign w:val="center"/>
          </w:tcPr>
          <w:p>
            <w:pPr>
              <w:rPr>
                <w:rFonts w:ascii="Times New Roman" w:cs="Times New Roman" w:hAnsi="Times New Roman"/>
                <w:sz w:val="20"/>
                <w:szCs w:val="20"/>
              </w:rPr>
            </w:pPr>
            <w:r>
              <w:rPr>
                <w:rFonts w:ascii="Times New Roman" w:cs="Times New Roman" w:hAnsi="Times New Roman"/>
                <w:sz w:val="20"/>
                <w:szCs w:val="20"/>
              </w:rPr>
              <w:t>9. Descripción y clasificación</w:t>
            </w:r>
          </w:p>
        </w:tc>
        <w:tc>
          <w:tcPr>
            <w:tcW w:w="4968" w:type="dxa"/>
            <w:vAlign w:val="center"/>
          </w:tcPr>
          <w:p>
            <w:pPr>
              <w:rPr>
                <w:rFonts w:ascii="Times New Roman" w:cs="Times New Roman" w:hAnsi="Times New Roman"/>
                <w:sz w:val="20"/>
                <w:szCs w:val="20"/>
                <w:lang w:val="es-NI"/>
              </w:rPr>
            </w:pPr>
            <w:r>
              <w:rPr>
                <w:rFonts w:ascii="Times New Roman" w:cs="Times New Roman" w:hAnsi="Times New Roman"/>
                <w:sz w:val="20"/>
                <w:szCs w:val="20"/>
                <w:lang w:val="es-NI"/>
              </w:rPr>
              <w:t>Diccionario y clasificación de los datos prioritarios.</w:t>
            </w:r>
          </w:p>
        </w:tc>
      </w:tr>
      <w:tr>
        <w:tc>
          <w:tcPr>
            <w:tcW w:w="4968" w:type="dxa"/>
            <w:vAlign w:val="center"/>
          </w:tcPr>
          <w:p>
            <w:pPr>
              <w:rPr>
                <w:rFonts w:ascii="Times New Roman" w:cs="Times New Roman" w:hAnsi="Times New Roman"/>
                <w:sz w:val="20"/>
                <w:szCs w:val="20"/>
              </w:rPr>
            </w:pPr>
            <w:r>
              <w:rPr>
                <w:rFonts w:ascii="Times New Roman" w:cs="Times New Roman" w:hAnsi="Times New Roman"/>
                <w:sz w:val="20"/>
                <w:szCs w:val="20"/>
              </w:rPr>
              <w:t>10. Trazabilidad</w:t>
            </w:r>
          </w:p>
        </w:tc>
        <w:tc>
          <w:tcPr>
            <w:tcW w:w="4968" w:type="dxa"/>
            <w:vAlign w:val="center"/>
          </w:tcPr>
          <w:p>
            <w:pPr>
              <w:rPr>
                <w:rFonts w:ascii="Times New Roman" w:cs="Times New Roman" w:hAnsi="Times New Roman"/>
                <w:sz w:val="20"/>
                <w:szCs w:val="20"/>
                <w:lang w:val="es-NI"/>
              </w:rPr>
            </w:pPr>
            <w:r>
              <w:rPr>
                <w:rFonts w:ascii="Times New Roman" w:cs="Times New Roman" w:hAnsi="Times New Roman"/>
                <w:sz w:val="20"/>
                <w:szCs w:val="20"/>
                <w:lang w:val="es-NI"/>
              </w:rPr>
              <w:t>Origen → extracción → limpieza → transformación → dataset → análisis → resultado.</w:t>
            </w:r>
          </w:p>
        </w:tc>
      </w:tr>
      <w:tr>
        <w:tc>
          <w:tcPr>
            <w:tcW w:w="4968" w:type="dxa"/>
            <w:vAlign w:val="center"/>
          </w:tcPr>
          <w:p>
            <w:pPr>
              <w:rPr>
                <w:rFonts w:ascii="Times New Roman" w:cs="Times New Roman" w:hAnsi="Times New Roman"/>
                <w:sz w:val="20"/>
                <w:szCs w:val="20"/>
              </w:rPr>
            </w:pPr>
            <w:r>
              <w:rPr>
                <w:rFonts w:ascii="Times New Roman" w:cs="Times New Roman" w:hAnsi="Times New Roman"/>
                <w:sz w:val="20"/>
                <w:szCs w:val="20"/>
              </w:rPr>
              <w:t>11. Ciclo de vida</w:t>
            </w:r>
          </w:p>
        </w:tc>
        <w:tc>
          <w:tcPr>
            <w:tcW w:w="4968" w:type="dxa"/>
            <w:vAlign w:val="center"/>
          </w:tcPr>
          <w:p>
            <w:pPr>
              <w:rPr>
                <w:rFonts w:ascii="Times New Roman" w:cs="Times New Roman" w:hAnsi="Times New Roman"/>
                <w:sz w:val="20"/>
                <w:szCs w:val="20"/>
                <w:lang w:val="es-NI"/>
              </w:rPr>
            </w:pPr>
            <w:r>
              <w:rPr>
                <w:rFonts w:ascii="Times New Roman" w:cs="Times New Roman" w:hAnsi="Times New Roman"/>
                <w:sz w:val="20"/>
                <w:szCs w:val="20"/>
                <w:lang w:val="es-NI"/>
              </w:rPr>
              <w:t>Captura → almacenamiento → preparación → utilización → conservación → archivo/eliminación.</w:t>
            </w:r>
          </w:p>
        </w:tc>
      </w:tr>
      <w:tr>
        <w:tc>
          <w:tcPr>
            <w:tcW w:w="4968" w:type="dxa"/>
            <w:vAlign w:val="center"/>
          </w:tcPr>
          <w:p>
            <w:pPr>
              <w:rPr>
                <w:rFonts w:ascii="Times New Roman" w:cs="Times New Roman" w:hAnsi="Times New Roman"/>
                <w:sz w:val="20"/>
                <w:szCs w:val="20"/>
              </w:rPr>
            </w:pPr>
            <w:r>
              <w:rPr>
                <w:rFonts w:ascii="Times New Roman" w:cs="Times New Roman" w:hAnsi="Times New Roman"/>
                <w:sz w:val="20"/>
                <w:szCs w:val="20"/>
              </w:rPr>
              <w:t>12. Minería de Datos</w:t>
            </w:r>
          </w:p>
        </w:tc>
        <w:tc>
          <w:tcPr>
            <w:tcW w:w="4968" w:type="dxa"/>
            <w:vAlign w:val="center"/>
          </w:tcPr>
          <w:p>
            <w:pPr>
              <w:rPr>
                <w:rFonts w:ascii="Times New Roman" w:cs="Times New Roman" w:hAnsi="Times New Roman"/>
                <w:sz w:val="20"/>
                <w:szCs w:val="20"/>
                <w:lang w:val="es-NI"/>
              </w:rPr>
            </w:pPr>
            <w:r>
              <w:rPr>
                <w:rFonts w:ascii="Times New Roman" w:cs="Times New Roman" w:hAnsi="Times New Roman"/>
                <w:sz w:val="20"/>
                <w:szCs w:val="20"/>
                <w:lang w:val="es-NI"/>
              </w:rPr>
              <w:t>Uso de datos gobernados para obtener resultados confiables y apoyar decisiones.</w:t>
            </w:r>
          </w:p>
        </w:tc>
      </w:tr>
    </w:tbl>
    <w:p>
      <w:pPr>
        <w:pStyle w:val="1"/>
        <w:numPr>
          <w:ilvl w:val="0"/>
          <w:numId w:val="1"/>
        </w:numPr>
        <w:rPr>
          <w:rFonts w:ascii="Times New Roman" w:cs="Times New Roman" w:hAnsi="Times New Roman"/>
          <w:sz w:val="20"/>
          <w:szCs w:val="20"/>
          <w:lang w:val="es-NI"/>
        </w:rPr>
      </w:pPr>
      <w:r>
        <w:rPr>
          <w:rFonts w:ascii="Times New Roman" w:cs="Times New Roman" w:hAnsi="Times New Roman"/>
          <w:color w:val="000000"/>
          <w:sz w:val="24"/>
          <w:szCs w:val="24"/>
          <w:lang w:val="es-NI"/>
        </w:rPr>
        <w:t>Contexto y alcance</w:t>
      </w:r>
    </w:p>
    <w:p>
      <w:pPr>
        <w:pStyle w:val="2"/>
        <w:numPr>
          <w:ilvl w:val="1"/>
          <w:numId w:val="1"/>
        </w:numPr>
        <w:rPr>
          <w:rFonts w:ascii="Times New Roman" w:cs="Times New Roman" w:hAnsi="Times New Roman"/>
          <w:color w:val="000000"/>
          <w:sz w:val="22"/>
          <w:szCs w:val="22"/>
          <w:lang w:val="es-NI"/>
        </w:rPr>
      </w:pPr>
      <w:r>
        <w:rPr>
          <w:rFonts w:ascii="Times New Roman" w:cs="Times New Roman" w:hAnsi="Times New Roman"/>
          <w:color w:val="000000"/>
          <w:sz w:val="22"/>
          <w:szCs w:val="22"/>
          <w:lang w:val="es-NI"/>
        </w:rPr>
        <w:t>Contexto del caso</w:t>
      </w:r>
    </w:p>
    <w:p>
      <w:pPr>
        <w:rPr>
          <w:rFonts w:ascii="Times New Roman" w:cs="Times New Roman" w:hAnsi="Times New Roman"/>
          <w:sz w:val="20"/>
          <w:szCs w:val="20"/>
          <w:lang w:val="es-NI"/>
        </w:rPr>
      </w:pPr>
      <w:r>
        <w:rPr>
          <w:rFonts w:ascii="Times New Roman" w:cs="Times New Roman" w:hAnsi="Times New Roman"/>
          <w:sz w:val="20"/>
          <w:szCs w:val="20"/>
          <w:lang w:val="es-NI"/>
        </w:rPr>
        <w:t>RápidoPacífico Logística presenta un problema recurrente de incumplimiento de los plazos de entrega comprometidos (SLA) en las guías de envío distribuidas en 95 rutas de la zona Pacífico. El problema no se limita al desempeño operativo, sino que también está relacionado con la calidad de los datos utilizados para registrar y evaluar el proceso.</w:t>
      </w:r>
    </w:p>
    <w:p>
      <w:pPr>
        <w:rPr>
          <w:rFonts w:ascii="Times New Roman" w:cs="Times New Roman" w:hAnsi="Times New Roman"/>
          <w:sz w:val="20"/>
          <w:szCs w:val="20"/>
          <w:lang w:val="es-NI"/>
        </w:rPr>
      </w:pPr>
      <w:r>
        <w:rPr>
          <w:rFonts w:ascii="Times New Roman" w:cs="Times New Roman" w:hAnsi="Times New Roman"/>
          <w:sz w:val="20"/>
          <w:szCs w:val="20"/>
          <w:lang w:val="es-NI"/>
        </w:rPr>
        <w:t>En el Dataset v0 se identificaron registros con el resultado de SLA sin consolidar, duplicidad de categorías como “Nocturna” y “NOCTURNA”, valores fuera de los rangos esperados, diferencias entre la fecha del evento y la fecha de carga y falta de validaciones suficientes en la captura.</w:t>
      </w:r>
    </w:p>
    <w:p>
      <w:pPr>
        <w:rPr>
          <w:rFonts w:ascii="Times New Roman" w:cs="Times New Roman" w:hAnsi="Times New Roman"/>
          <w:sz w:val="20"/>
          <w:szCs w:val="20"/>
          <w:lang w:val="es-NI"/>
        </w:rPr>
      </w:pPr>
      <w:r>
        <w:rPr>
          <w:rFonts w:ascii="Times New Roman" w:cs="Times New Roman" w:hAnsi="Times New Roman"/>
          <w:sz w:val="20"/>
          <w:szCs w:val="20"/>
        </w:rPr>
        <w:drawing>
          <wp:inline distT="0" distB="0" distL="0" distR="0">
            <wp:extent cx="6134100" cy="3450430"/>
            <wp:effectExtent l="0" t="0" r="0" b="0"/>
            <wp:docPr id="4" name="Imágenes 4"/>
            <wp:cNvGraphicFramePr>
              <a:graphicFrameLocks noChangeAspect="1"/>
            </wp:cNvGraphicFramePr>
            <a:graphic>
              <a:graphicData uri="http://schemas.openxmlformats.org/drawingml/2006/picture">
                <pic:pic>
                  <pic:nvPicPr>
                    <pic:cNvPr id="6" name="Imágenes 6"/>
                    <pic:cNvPicPr/>
                  </pic:nvPicPr>
                  <pic:blipFill>
                    <a:blip r:embed="rId3"/>
                    <a:stretch>
                      <a:fillRect/>
                    </a:stretch>
                  </pic:blipFill>
                  <pic:spPr>
                    <a:xfrm rot="0">
                      <a:off x="0" y="0"/>
                      <a:ext cx="6134100" cy="3450430"/>
                    </a:xfrm>
                    <a:prstGeom prst="rect"/>
                    <a:noFill/>
                    <a:ln w="12700" cmpd="sng" cap="flat">
                      <a:noFill/>
                      <a:prstDash val="solid"/>
                      <a:round/>
                    </a:ln>
                  </pic:spPr>
                </pic:pic>
              </a:graphicData>
            </a:graphic>
          </wp:inline>
        </w:drawing>
      </w:r>
    </w:p>
    <w:p>
      <w:pPr>
        <w:rPr>
          <w:rFonts w:ascii="Times New Roman" w:cs="Times New Roman" w:hAnsi="Times New Roman"/>
          <w:sz w:val="20"/>
          <w:szCs w:val="20"/>
          <w:lang w:val="es-NI"/>
        </w:rPr>
      </w:pPr>
    </w:p>
    <w:p>
      <w:pPr>
        <w:rPr>
          <w:rFonts w:ascii="Times New Roman" w:cs="Times New Roman" w:hAnsi="Times New Roman"/>
          <w:sz w:val="20"/>
          <w:szCs w:val="20"/>
          <w:lang w:val="es-NI"/>
        </w:rPr>
      </w:pPr>
    </w:p>
    <w:p>
      <w:pPr>
        <w:rPr>
          <w:rFonts w:ascii="Times New Roman" w:cs="Times New Roman" w:hAnsi="Times New Roman"/>
          <w:sz w:val="20"/>
          <w:szCs w:val="20"/>
          <w:lang w:val="es-NI"/>
        </w:rPr>
      </w:pPr>
    </w:p>
    <w:p>
      <w:pPr>
        <w:rPr>
          <w:rFonts w:ascii="Times New Roman" w:cs="Times New Roman" w:hAnsi="Times New Roman"/>
          <w:sz w:val="20"/>
          <w:szCs w:val="20"/>
          <w:lang w:val="es-NI"/>
        </w:rPr>
      </w:pPr>
    </w:p>
    <w:p>
      <w:pPr>
        <w:pStyle w:val="2"/>
        <w:numPr>
          <w:ilvl w:val="1"/>
          <w:numId w:val="2"/>
        </w:numPr>
        <w:rPr>
          <w:rFonts w:ascii="Times New Roman" w:cs="Times New Roman" w:hAnsi="Times New Roman"/>
          <w:sz w:val="20"/>
          <w:szCs w:val="20"/>
          <w:lang w:val="es-NI"/>
        </w:rPr>
      </w:pPr>
      <w:r>
        <w:rPr>
          <w:rFonts w:ascii="Times New Roman" w:cs="Times New Roman" w:hAnsi="Times New Roman"/>
          <w:color w:val="000000"/>
          <w:sz w:val="22"/>
          <w:szCs w:val="22"/>
          <w:lang w:val="es-NI"/>
        </w:rPr>
        <w:t>Problema identificado</w:t>
      </w:r>
    </w:p>
    <w:p>
      <w:pPr>
        <w:rPr>
          <w:rFonts w:ascii="Times New Roman" w:cs="Times New Roman" w:hAnsi="Times New Roman"/>
          <w:sz w:val="20"/>
          <w:szCs w:val="20"/>
          <w:lang w:val="es-NI"/>
        </w:rPr>
      </w:pPr>
      <w:r>
        <w:rPr>
          <w:rFonts w:ascii="Times New Roman" w:cs="Times New Roman" w:hAnsi="Times New Roman"/>
          <w:sz w:val="20"/>
          <w:szCs w:val="20"/>
          <w:lang w:val="es-NI"/>
        </w:rPr>
        <w:t>El problema central es el alto incumplimiento del SLA y la dificultad para controlar correctamente el proceso de entregas debido a deficiencias operativas y de calidad de datos.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4685"/>
        <w:gridCol w:w="4685"/>
      </w:tblGrid>
      <w:tr>
        <w:tc>
          <w:tcPr>
            <w:tcW w:w="4968" w:type="dxa"/>
            <w:shd w:val="clear" w:color="auto" w:fill="B7D7F0"/>
            <w:vAlign w:val="center"/>
          </w:tcPr>
          <w:p>
            <w:pPr>
              <w:rPr>
                <w:rFonts w:ascii="Times New Roman" w:cs="Times New Roman" w:hAnsi="Times New Roman"/>
                <w:sz w:val="20"/>
                <w:szCs w:val="20"/>
              </w:rPr>
            </w:pPr>
            <w:r>
              <w:rPr>
                <w:rFonts w:ascii="Times New Roman" w:cs="Times New Roman" w:hAnsi="Times New Roman"/>
                <w:b/>
                <w:sz w:val="20"/>
                <w:szCs w:val="20"/>
              </w:rPr>
              <w:t>Dato</w:t>
            </w:r>
          </w:p>
        </w:tc>
        <w:tc>
          <w:tcPr>
            <w:tcW w:w="4968" w:type="dxa"/>
            <w:shd w:val="clear" w:color="auto" w:fill="B7D7F0"/>
            <w:vAlign w:val="center"/>
          </w:tcPr>
          <w:p>
            <w:pPr>
              <w:rPr>
                <w:rFonts w:ascii="Times New Roman" w:cs="Times New Roman" w:hAnsi="Times New Roman"/>
                <w:sz w:val="20"/>
                <w:szCs w:val="20"/>
              </w:rPr>
            </w:pPr>
            <w:r>
              <w:rPr>
                <w:rFonts w:ascii="Times New Roman" w:cs="Times New Roman" w:hAnsi="Times New Roman"/>
                <w:b/>
                <w:sz w:val="20"/>
                <w:szCs w:val="20"/>
              </w:rPr>
              <w:t>Resultado</w:t>
            </w:r>
          </w:p>
        </w:tc>
      </w:tr>
      <w:tr>
        <w:tc>
          <w:tcPr>
            <w:tcW w:w="4968" w:type="dxa"/>
            <w:vAlign w:val="center"/>
          </w:tcPr>
          <w:p>
            <w:pPr>
              <w:rPr>
                <w:rFonts w:ascii="Times New Roman" w:cs="Times New Roman" w:hAnsi="Times New Roman"/>
                <w:sz w:val="20"/>
                <w:szCs w:val="20"/>
              </w:rPr>
            </w:pPr>
            <w:r>
              <w:rPr>
                <w:rFonts w:ascii="Times New Roman" w:cs="Times New Roman" w:hAnsi="Times New Roman"/>
                <w:sz w:val="20"/>
                <w:szCs w:val="20"/>
              </w:rPr>
              <w:t>Total de registros</w:t>
            </w:r>
          </w:p>
        </w:tc>
        <w:tc>
          <w:tcPr>
            <w:tcW w:w="4968" w:type="dxa"/>
            <w:vAlign w:val="center"/>
          </w:tcPr>
          <w:p>
            <w:pPr>
              <w:rPr>
                <w:rFonts w:ascii="Times New Roman" w:cs="Times New Roman" w:hAnsi="Times New Roman"/>
                <w:sz w:val="20"/>
                <w:szCs w:val="20"/>
              </w:rPr>
            </w:pPr>
            <w:r>
              <w:rPr>
                <w:rFonts w:ascii="Times New Roman" w:cs="Times New Roman" w:hAnsi="Times New Roman"/>
                <w:sz w:val="20"/>
                <w:szCs w:val="20"/>
              </w:rPr>
              <w:t>360</w:t>
            </w:r>
          </w:p>
        </w:tc>
      </w:tr>
      <w:tr>
        <w:tc>
          <w:tcPr>
            <w:tcW w:w="4968" w:type="dxa"/>
            <w:vAlign w:val="center"/>
          </w:tcPr>
          <w:p>
            <w:pPr>
              <w:rPr>
                <w:rFonts w:ascii="Times New Roman" w:cs="Times New Roman" w:hAnsi="Times New Roman"/>
                <w:sz w:val="20"/>
                <w:szCs w:val="20"/>
              </w:rPr>
            </w:pPr>
            <w:r>
              <w:rPr>
                <w:rFonts w:ascii="Times New Roman" w:cs="Times New Roman" w:hAnsi="Times New Roman"/>
                <w:sz w:val="20"/>
                <w:szCs w:val="20"/>
              </w:rPr>
              <w:t>Dentro de SLA</w:t>
            </w:r>
          </w:p>
        </w:tc>
        <w:tc>
          <w:tcPr>
            <w:tcW w:w="4968" w:type="dxa"/>
            <w:vAlign w:val="center"/>
          </w:tcPr>
          <w:p>
            <w:pPr>
              <w:rPr>
                <w:rFonts w:ascii="Times New Roman" w:cs="Times New Roman" w:hAnsi="Times New Roman"/>
                <w:sz w:val="20"/>
                <w:szCs w:val="20"/>
              </w:rPr>
            </w:pPr>
            <w:r>
              <w:rPr>
                <w:rFonts w:ascii="Times New Roman" w:cs="Times New Roman" w:hAnsi="Times New Roman"/>
                <w:sz w:val="20"/>
                <w:szCs w:val="20"/>
              </w:rPr>
              <w:t>203</w:t>
            </w:r>
          </w:p>
        </w:tc>
      </w:tr>
      <w:tr>
        <w:tc>
          <w:tcPr>
            <w:tcW w:w="4968" w:type="dxa"/>
            <w:vAlign w:val="center"/>
          </w:tcPr>
          <w:p>
            <w:pPr>
              <w:rPr>
                <w:rFonts w:ascii="Times New Roman" w:cs="Times New Roman" w:hAnsi="Times New Roman"/>
                <w:sz w:val="20"/>
                <w:szCs w:val="20"/>
              </w:rPr>
            </w:pPr>
            <w:r>
              <w:rPr>
                <w:rFonts w:ascii="Times New Roman" w:cs="Times New Roman" w:hAnsi="Times New Roman"/>
                <w:sz w:val="20"/>
                <w:szCs w:val="20"/>
              </w:rPr>
              <w:t>Fuera de SLA</w:t>
            </w:r>
          </w:p>
        </w:tc>
        <w:tc>
          <w:tcPr>
            <w:tcW w:w="4968" w:type="dxa"/>
            <w:vAlign w:val="center"/>
          </w:tcPr>
          <w:p>
            <w:pPr>
              <w:rPr>
                <w:rFonts w:ascii="Times New Roman" w:cs="Times New Roman" w:hAnsi="Times New Roman"/>
                <w:sz w:val="20"/>
                <w:szCs w:val="20"/>
              </w:rPr>
            </w:pPr>
            <w:r>
              <w:rPr>
                <w:rFonts w:ascii="Times New Roman" w:cs="Times New Roman" w:hAnsi="Times New Roman"/>
                <w:sz w:val="20"/>
                <w:szCs w:val="20"/>
              </w:rPr>
              <w:t>151</w:t>
            </w:r>
          </w:p>
        </w:tc>
      </w:tr>
      <w:tr>
        <w:tc>
          <w:tcPr>
            <w:tcW w:w="4968" w:type="dxa"/>
            <w:vAlign w:val="center"/>
          </w:tcPr>
          <w:p>
            <w:pPr>
              <w:rPr>
                <w:rFonts w:ascii="Times New Roman" w:cs="Times New Roman" w:hAnsi="Times New Roman"/>
                <w:sz w:val="20"/>
                <w:szCs w:val="20"/>
              </w:rPr>
            </w:pPr>
            <w:r>
              <w:rPr>
                <w:rFonts w:ascii="Times New Roman" w:cs="Times New Roman" w:hAnsi="Times New Roman"/>
                <w:sz w:val="20"/>
                <w:szCs w:val="20"/>
              </w:rPr>
              <w:t>No consolidado</w:t>
            </w:r>
          </w:p>
        </w:tc>
        <w:tc>
          <w:tcPr>
            <w:tcW w:w="4968" w:type="dxa"/>
            <w:vAlign w:val="center"/>
          </w:tcPr>
          <w:p>
            <w:pPr>
              <w:rPr>
                <w:rFonts w:ascii="Times New Roman" w:cs="Times New Roman" w:hAnsi="Times New Roman"/>
                <w:sz w:val="20"/>
                <w:szCs w:val="20"/>
              </w:rPr>
            </w:pPr>
            <w:r>
              <w:rPr>
                <w:rFonts w:ascii="Times New Roman" w:cs="Times New Roman" w:hAnsi="Times New Roman"/>
                <w:sz w:val="20"/>
                <w:szCs w:val="20"/>
              </w:rPr>
              <w:t>6</w:t>
            </w:r>
          </w:p>
        </w:tc>
      </w:tr>
      <w:tr>
        <w:tc>
          <w:tcPr>
            <w:tcW w:w="4968" w:type="dxa"/>
            <w:vAlign w:val="center"/>
          </w:tcPr>
          <w:p>
            <w:pPr>
              <w:rPr>
                <w:rFonts w:ascii="Times New Roman" w:cs="Times New Roman" w:hAnsi="Times New Roman"/>
                <w:sz w:val="20"/>
                <w:szCs w:val="20"/>
              </w:rPr>
            </w:pPr>
            <w:r>
              <w:rPr>
                <w:rFonts w:ascii="Times New Roman" w:cs="Times New Roman" w:hAnsi="Times New Roman"/>
                <w:sz w:val="20"/>
                <w:szCs w:val="20"/>
              </w:rPr>
              <w:t>Resultado conocido</w:t>
            </w:r>
          </w:p>
        </w:tc>
        <w:tc>
          <w:tcPr>
            <w:tcW w:w="4968" w:type="dxa"/>
            <w:vAlign w:val="center"/>
          </w:tcPr>
          <w:p>
            <w:pPr>
              <w:rPr>
                <w:rFonts w:ascii="Times New Roman" w:cs="Times New Roman" w:hAnsi="Times New Roman"/>
                <w:sz w:val="20"/>
                <w:szCs w:val="20"/>
              </w:rPr>
            </w:pPr>
            <w:r>
              <w:rPr>
                <w:rFonts w:ascii="Times New Roman" w:cs="Times New Roman" w:hAnsi="Times New Roman"/>
                <w:sz w:val="20"/>
                <w:szCs w:val="20"/>
              </w:rPr>
              <w:t>354</w:t>
            </w:r>
          </w:p>
        </w:tc>
      </w:tr>
      <w:tr>
        <w:tc>
          <w:tcPr>
            <w:tcW w:w="4968" w:type="dxa"/>
            <w:vAlign w:val="center"/>
          </w:tcPr>
          <w:p>
            <w:pPr>
              <w:rPr>
                <w:rFonts w:ascii="Times New Roman" w:cs="Times New Roman" w:hAnsi="Times New Roman"/>
                <w:sz w:val="20"/>
                <w:szCs w:val="20"/>
              </w:rPr>
            </w:pPr>
            <w:r>
              <w:rPr>
                <w:rFonts w:ascii="Times New Roman" w:cs="Times New Roman" w:hAnsi="Times New Roman"/>
                <w:sz w:val="20"/>
                <w:szCs w:val="20"/>
              </w:rPr>
              <w:t>Tasa de incumplimiento</w:t>
            </w:r>
          </w:p>
        </w:tc>
        <w:tc>
          <w:tcPr>
            <w:tcW w:w="4968" w:type="dxa"/>
            <w:vAlign w:val="center"/>
          </w:tcPr>
          <w:p>
            <w:pPr>
              <w:rPr>
                <w:rFonts w:ascii="Times New Roman" w:cs="Times New Roman" w:hAnsi="Times New Roman"/>
                <w:sz w:val="20"/>
                <w:szCs w:val="20"/>
              </w:rPr>
            </w:pPr>
            <w:r>
              <w:rPr>
                <w:rFonts w:ascii="Times New Roman" w:cs="Times New Roman" w:hAnsi="Times New Roman"/>
                <w:sz w:val="20"/>
                <w:szCs w:val="20"/>
              </w:rPr>
              <w:t>42.66 %</w:t>
            </w:r>
          </w:p>
        </w:tc>
      </w:tr>
      <w:tr>
        <w:tc>
          <w:tcPr>
            <w:tcW w:w="4968" w:type="dxa"/>
            <w:vAlign w:val="center"/>
          </w:tcPr>
          <w:p>
            <w:pPr>
              <w:rPr>
                <w:rFonts w:ascii="Times New Roman" w:cs="Times New Roman" w:hAnsi="Times New Roman"/>
                <w:sz w:val="20"/>
                <w:szCs w:val="20"/>
              </w:rPr>
            </w:pPr>
            <w:r>
              <w:rPr>
                <w:rFonts w:ascii="Times New Roman" w:cs="Times New Roman" w:hAnsi="Times New Roman"/>
                <w:sz w:val="20"/>
                <w:szCs w:val="20"/>
              </w:rPr>
              <w:t>IDs duplicados</w:t>
            </w:r>
          </w:p>
        </w:tc>
        <w:tc>
          <w:tcPr>
            <w:tcW w:w="4968" w:type="dxa"/>
            <w:vAlign w:val="center"/>
          </w:tcPr>
          <w:p>
            <w:pPr>
              <w:rPr>
                <w:rFonts w:ascii="Times New Roman" w:cs="Times New Roman" w:hAnsi="Times New Roman"/>
                <w:sz w:val="20"/>
                <w:szCs w:val="20"/>
              </w:rPr>
            </w:pPr>
            <w:r>
              <w:rPr>
                <w:rFonts w:ascii="Times New Roman" w:cs="Times New Roman" w:hAnsi="Times New Roman"/>
                <w:sz w:val="20"/>
                <w:szCs w:val="20"/>
              </w:rPr>
              <w:t>4 IDs, involucrando 8 registros</w:t>
            </w:r>
          </w:p>
        </w:tc>
      </w:tr>
      <w:tr>
        <w:tc>
          <w:tcPr>
            <w:tcW w:w="4968" w:type="dxa"/>
            <w:vAlign w:val="center"/>
          </w:tcPr>
          <w:p>
            <w:pPr>
              <w:rPr>
                <w:rFonts w:ascii="Times New Roman" w:cs="Times New Roman" w:hAnsi="Times New Roman"/>
                <w:sz w:val="20"/>
                <w:szCs w:val="20"/>
              </w:rPr>
            </w:pPr>
            <w:r>
              <w:rPr>
                <w:rFonts w:ascii="Times New Roman" w:cs="Times New Roman" w:hAnsi="Times New Roman"/>
                <w:sz w:val="20"/>
                <w:szCs w:val="20"/>
              </w:rPr>
              <w:t>Demora máxima de carga</w:t>
            </w:r>
          </w:p>
        </w:tc>
        <w:tc>
          <w:tcPr>
            <w:tcW w:w="4968" w:type="dxa"/>
            <w:vAlign w:val="center"/>
          </w:tcPr>
          <w:p>
            <w:pPr>
              <w:rPr>
                <w:rFonts w:ascii="Times New Roman" w:cs="Times New Roman" w:hAnsi="Times New Roman"/>
                <w:sz w:val="20"/>
                <w:szCs w:val="20"/>
              </w:rPr>
            </w:pPr>
            <w:r>
              <w:rPr>
                <w:rFonts w:ascii="Times New Roman" w:cs="Times New Roman" w:hAnsi="Times New Roman"/>
                <w:sz w:val="20"/>
                <w:szCs w:val="20"/>
              </w:rPr>
              <w:t>26 días</w:t>
            </w:r>
          </w:p>
        </w:tc>
      </w:tr>
    </w:tbl>
    <w:p>
      <w:pPr>
        <w:pStyle w:val="2"/>
        <w:rPr>
          <w:rFonts w:ascii="Times New Roman" w:cs="Times New Roman" w:hAnsi="Times New Roman"/>
          <w:sz w:val="20"/>
          <w:szCs w:val="20"/>
        </w:rPr>
      </w:pPr>
      <w:r>
        <w:rPr>
          <w:rFonts w:ascii="Times New Roman" w:cs="Times New Roman" w:hAnsi="Times New Roman"/>
          <w:color w:val="000000"/>
          <w:sz w:val="20"/>
          <w:szCs w:val="20"/>
        </w:rPr>
        <w:t xml:space="preserve">3.3 </w:t>
      </w:r>
      <w:r>
        <w:rPr>
          <w:rFonts w:ascii="Times New Roman" w:cs="Times New Roman" w:hAnsi="Times New Roman"/>
          <w:color w:val="000000"/>
          <w:sz w:val="22"/>
          <w:szCs w:val="22"/>
        </w:rPr>
        <w:t>Proceso analizado</w:t>
      </w:r>
    </w:p>
    <w:p>
      <w:pPr>
        <w:rPr>
          <w:rFonts w:ascii="Times New Roman" w:cs="Times New Roman" w:hAnsi="Times New Roman"/>
          <w:sz w:val="20"/>
          <w:szCs w:val="20"/>
          <w:lang w:val="es-NI"/>
        </w:rPr>
      </w:pPr>
      <w:r>
        <w:rPr>
          <w:rFonts w:ascii="Times New Roman" w:cs="Times New Roman" w:hAnsi="Times New Roman"/>
          <w:sz w:val="20"/>
          <w:szCs w:val="20"/>
          <w:lang w:val="es-NI"/>
        </w:rPr>
        <w:t>El proceso actual comprende seis pasos, desde la generación de la guía hasta el registro del resultado y consolidación del SLA. Incluye registro, recepción, planificación, despacho, traslado, intento de entrega y cierre.</w:t>
      </w:r>
    </w:p>
    <w:p>
      <w:pPr>
        <w:rPr>
          <w:rFonts w:ascii="Times New Roman" w:cs="Times New Roman" w:hAnsi="Times New Roman"/>
          <w:sz w:val="20"/>
          <w:szCs w:val="20"/>
          <w:lang w:val="es-NI"/>
        </w:rPr>
      </w:pPr>
      <w:r>
        <w:rPr>
          <w:rFonts w:ascii="Times New Roman" w:cs="Times New Roman" w:hAnsi="Times New Roman"/>
          <w:sz w:val="20"/>
          <w:szCs w:val="20"/>
          <w:lang w:val="es-NI"/>
        </w:rPr>
        <w:drawing>
          <wp:inline distT="0" distB="0" distL="0" distR="0">
            <wp:extent cx="6309360" cy="3920121"/>
            <wp:effectExtent l="0" t="0" r="0" b="0"/>
            <wp:docPr id="7" name="Imágenes 7"/>
            <wp:cNvGraphicFramePr>
              <a:graphicFrameLocks noChangeAspect="1"/>
            </wp:cNvGraphicFramePr>
            <a:graphic>
              <a:graphicData uri="http://schemas.openxmlformats.org/drawingml/2006/picture">
                <pic:pic>
                  <pic:nvPicPr>
                    <pic:cNvPr id="9" name="Imágenes 9"/>
                    <pic:cNvPicPr/>
                  </pic:nvPicPr>
                  <pic:blipFill>
                    <a:blip r:embed="rId4"/>
                    <a:stretch>
                      <a:fillRect/>
                    </a:stretch>
                  </pic:blipFill>
                  <pic:spPr>
                    <a:xfrm rot="0">
                      <a:off x="0" y="0"/>
                      <a:ext cx="6309360" cy="3920121"/>
                    </a:xfrm>
                    <a:prstGeom prst="rect"/>
                    <a:noFill/>
                    <a:ln w="12700" cmpd="sng" cap="flat">
                      <a:noFill/>
                      <a:prstDash val="solid"/>
                      <a:miter/>
                    </a:ln>
                  </pic:spPr>
                </pic:pic>
              </a:graphicData>
            </a:graphic>
          </wp:inline>
        </w:drawing>
      </w:r>
    </w:p>
    <w:p>
      <w:pPr>
        <w:pStyle w:val="2"/>
        <w:rPr>
          <w:rFonts w:ascii="Times New Roman" w:cs="Times New Roman" w:hAnsi="Times New Roman"/>
          <w:color w:val="000000"/>
          <w:sz w:val="24"/>
          <w:szCs w:val="24"/>
          <w:lang w:val="es-NI"/>
        </w:rPr>
      </w:pPr>
      <w:r>
        <w:rPr>
          <w:rFonts w:ascii="Times New Roman" w:cs="Times New Roman" w:hAnsi="Times New Roman"/>
          <w:color w:val="000000"/>
          <w:sz w:val="20"/>
          <w:szCs w:val="20"/>
          <w:lang w:val="es-NI"/>
        </w:rPr>
        <w:t xml:space="preserve">3.4 </w:t>
      </w:r>
      <w:r>
        <w:rPr>
          <w:rFonts w:ascii="Times New Roman" w:cs="Times New Roman" w:hAnsi="Times New Roman"/>
          <w:color w:val="000000"/>
          <w:sz w:val="22"/>
          <w:szCs w:val="22"/>
          <w:lang w:val="es-NI"/>
        </w:rPr>
        <w:t>Objetivo del proceso analítico</w:t>
      </w:r>
    </w:p>
    <w:p>
      <w:pPr>
        <w:rPr>
          <w:rFonts w:ascii="Times New Roman" w:cs="Times New Roman" w:hAnsi="Times New Roman"/>
          <w:sz w:val="20"/>
          <w:szCs w:val="20"/>
          <w:lang w:val="es-NI"/>
        </w:rPr>
      </w:pPr>
      <w:r>
        <w:rPr>
          <w:rFonts w:ascii="Times New Roman" w:cs="Times New Roman" w:hAnsi="Times New Roman"/>
          <w:sz w:val="20"/>
          <w:szCs w:val="20"/>
          <w:lang w:val="es-NI"/>
        </w:rPr>
        <w:t>Analizar la información de las guías de envío para medir el cumplimiento del SLA, identificar zonas, servicios y franjas con mayor incumplimiento, detectar problemas de calidad de datos y generar información confiable para la planificación y toma de decisiones.</w:t>
      </w:r>
    </w:p>
    <w:p>
      <w:pPr>
        <w:pStyle w:val="2"/>
        <w:rPr>
          <w:rFonts w:ascii="Times New Roman" w:cs="Times New Roman" w:hAnsi="Times New Roman"/>
          <w:sz w:val="20"/>
          <w:szCs w:val="20"/>
          <w:lang w:val="es-NI"/>
        </w:rPr>
      </w:pPr>
      <w:r>
        <w:rPr>
          <w:rFonts w:ascii="Times New Roman" w:cs="Times New Roman" w:hAnsi="Times New Roman"/>
          <w:color w:val="000000"/>
          <w:sz w:val="20"/>
          <w:szCs w:val="20"/>
          <w:lang w:val="es-NI"/>
        </w:rPr>
        <w:t xml:space="preserve">3.5 </w:t>
      </w:r>
      <w:r>
        <w:rPr>
          <w:rFonts w:ascii="Times New Roman" w:cs="Times New Roman" w:hAnsi="Times New Roman"/>
          <w:color w:val="000000"/>
          <w:sz w:val="22"/>
          <w:szCs w:val="22"/>
          <w:lang w:val="es-NI"/>
        </w:rPr>
        <w:t>Datos involucrados</w:t>
      </w:r>
    </w:p>
    <w:p>
      <w:pPr>
        <w:rPr>
          <w:rFonts w:ascii="Times New Roman" w:cs="Times New Roman" w:hAnsi="Times New Roman"/>
          <w:sz w:val="20"/>
          <w:szCs w:val="20"/>
          <w:lang w:val="es-NI"/>
        </w:rPr>
      </w:pPr>
      <w:r>
        <w:rPr>
          <w:rFonts w:ascii="Times New Roman" w:cs="Times New Roman" w:hAnsi="Times New Roman"/>
          <w:sz w:val="20"/>
          <w:szCs w:val="20"/>
          <w:lang w:val="es-NI"/>
        </w:rPr>
        <w:t>Los datos involucrados corresponden a la información utilizada en el proceso de entrega y en la evaluación del SLA: guía de envío, datos del destinatario, zona, servicio, franja horaria, peso, ruta, fechas del evento y carga, resultado de SLA, distancia, intentos de entrega, cantidad de paradas y categorías de franja de entrega.</w:t>
      </w:r>
    </w:p>
    <w:p>
      <w:pPr>
        <w:pStyle w:val="2"/>
        <w:rPr>
          <w:rFonts w:ascii="Times New Roman" w:cs="Times New Roman" w:hAnsi="Times New Roman"/>
          <w:color w:val="000000"/>
          <w:sz w:val="20"/>
          <w:szCs w:val="20"/>
          <w:lang w:val="es-NI"/>
        </w:rPr>
      </w:pPr>
      <w:r>
        <w:rPr>
          <w:rFonts w:ascii="Times New Roman" w:cs="Times New Roman" w:hAnsi="Times New Roman"/>
          <w:color w:val="000000"/>
          <w:sz w:val="20"/>
          <w:szCs w:val="20"/>
          <w:lang w:val="es-NI"/>
        </w:rPr>
        <w:t>3.</w:t>
      </w:r>
      <w:r>
        <w:rPr>
          <w:rFonts w:ascii="Times New Roman" w:cs="Times New Roman" w:hAnsi="Times New Roman"/>
          <w:color w:val="000000"/>
          <w:sz w:val="22"/>
          <w:szCs w:val="22"/>
          <w:lang w:val="es-NI"/>
        </w:rPr>
        <w:t>6 Alcance del Gobierno de Datos</w:t>
      </w:r>
    </w:p>
    <w:p>
      <w:pPr>
        <w:rPr>
          <w:rFonts w:ascii="Times New Roman" w:cs="Times New Roman" w:hAnsi="Times New Roman"/>
          <w:sz w:val="20"/>
          <w:szCs w:val="20"/>
          <w:lang w:val="es-NI"/>
        </w:rPr>
      </w:pPr>
      <w:r>
        <w:rPr>
          <w:rFonts w:ascii="Times New Roman" w:cs="Times New Roman" w:hAnsi="Times New Roman"/>
          <w:sz w:val="20"/>
          <w:szCs w:val="20"/>
          <w:lang w:val="es-NI"/>
        </w:rPr>
        <w:t>El Gobierno de Datos abarcará desde la captura de los datos de la guía y los eventos de entrega, su almacenamiento en los sistemas utilizados, preparación y validación, hasta su incorporación al dataset analítico y utilización en indicadores y análisis de SLA. Se dará prioridad a los datos relacionados con calidad, completitud, unicidad, estandarización, conformidad, oportunidad y trazabilidad.</w:t>
      </w:r>
    </w:p>
    <w:p>
      <w:pPr>
        <w:pStyle w:val="2"/>
        <w:rPr>
          <w:rFonts w:ascii="Times New Roman" w:cs="Times New Roman" w:hAnsi="Times New Roman"/>
          <w:sz w:val="20"/>
          <w:szCs w:val="20"/>
          <w:lang w:val="es-NI"/>
        </w:rPr>
      </w:pPr>
      <w:r>
        <w:rPr>
          <w:rFonts w:ascii="Times New Roman" w:cs="Times New Roman" w:hAnsi="Times New Roman"/>
          <w:color w:val="000000"/>
          <w:sz w:val="20"/>
          <w:szCs w:val="20"/>
          <w:lang w:val="es-NI"/>
        </w:rPr>
        <w:t xml:space="preserve">3.7 </w:t>
      </w:r>
      <w:r>
        <w:rPr>
          <w:rFonts w:ascii="Times New Roman" w:cs="Times New Roman" w:hAnsi="Times New Roman"/>
          <w:color w:val="000000"/>
          <w:sz w:val="22"/>
          <w:szCs w:val="22"/>
          <w:lang w:val="es-NI"/>
        </w:rPr>
        <w:t>Áreas y actores involucrados</w:t>
      </w:r>
    </w:p>
    <w:p>
      <w:pPr>
        <w:rPr>
          <w:rFonts w:ascii="Times New Roman" w:cs="Times New Roman" w:hAnsi="Times New Roman"/>
          <w:sz w:val="20"/>
          <w:szCs w:val="20"/>
          <w:lang w:val="es-NI"/>
        </w:rPr>
      </w:pPr>
      <w:r>
        <w:rPr>
          <w:rFonts w:ascii="Times New Roman" w:cs="Times New Roman" w:hAnsi="Times New Roman"/>
          <w:sz w:val="20"/>
          <w:szCs w:val="20"/>
          <w:lang w:val="es-NI"/>
        </w:rPr>
        <w:t>Participan Planificación Logística, Operaciones, centros de clasificación, conductores/repartidores, TI y los responsables de gobierno y custodia de los datos. También intervienen los usuarios que consultan los indicadores y resultados para apoyar la toma de decisiones.</w:t>
      </w:r>
    </w:p>
    <w:p>
      <w:pPr>
        <w:pStyle w:val="2"/>
        <w:rPr>
          <w:rFonts w:ascii="Times New Roman" w:cs="Times New Roman" w:hAnsi="Times New Roman"/>
          <w:sz w:val="22"/>
          <w:szCs w:val="22"/>
          <w:lang w:val="es-NI"/>
        </w:rPr>
      </w:pPr>
      <w:r>
        <w:rPr>
          <w:rFonts w:ascii="Times New Roman" w:cs="Times New Roman" w:hAnsi="Times New Roman"/>
          <w:color w:val="000000"/>
          <w:sz w:val="22"/>
          <w:szCs w:val="22"/>
          <w:lang w:val="es-NI"/>
        </w:rPr>
        <w:t>3.8 Pregunta orientadora</w:t>
      </w:r>
    </w:p>
    <w:p>
      <w:pPr>
        <w:rPr>
          <w:rFonts w:ascii="Times New Roman" w:cs="Times New Roman" w:hAnsi="Times New Roman"/>
          <w:sz w:val="20"/>
          <w:szCs w:val="20"/>
          <w:lang w:val="es-NI"/>
        </w:rPr>
      </w:pPr>
      <w:r>
        <w:rPr>
          <w:rFonts w:ascii="Times New Roman" w:cs="Times New Roman" w:hAnsi="Times New Roman"/>
          <w:sz w:val="20"/>
          <w:szCs w:val="20"/>
          <w:lang w:val="es-NI"/>
        </w:rPr>
        <w:t>¿Qué parte de la organización y qué datos estamos gobernando?</w:t>
      </w:r>
    </w:p>
    <w:p>
      <w:pPr>
        <w:rPr>
          <w:rFonts w:ascii="Times New Roman" w:cs="Times New Roman" w:hAnsi="Times New Roman"/>
          <w:sz w:val="20"/>
          <w:szCs w:val="20"/>
          <w:lang w:val="es-NI"/>
        </w:rPr>
      </w:pPr>
      <w:r>
        <w:rPr>
          <w:rFonts w:ascii="Times New Roman" w:cs="Times New Roman" w:hAnsi="Times New Roman"/>
          <w:sz w:val="20"/>
          <w:szCs w:val="20"/>
          <w:lang w:val="es-NI"/>
        </w:rPr>
        <w:t>Se gobierna principalmente la información asociada al proceso de entregas y al cumplimiento del SLA, desde la captura de la guía y los eventos de entrega hasta su consolidación y utilización en el análisis.</w:t>
      </w:r>
    </w:p>
    <w:p>
      <w:pPr>
        <w:pStyle w:val="20"/>
        <w:numPr>
          <w:ilvl w:val="0"/>
          <w:numId w:val="1"/>
        </w:numPr>
        <w:spacing w:before="280" w:after="120"/>
        <w:rPr>
          <w:rFonts w:ascii="Times New Roman" w:cs="Times New Roman" w:hAnsi="Times New Roman"/>
          <w:lang w:val="es-ES"/>
        </w:rPr>
      </w:pPr>
      <w:r>
        <w:rPr>
          <w:rFonts w:ascii="Times New Roman" w:cs="Times New Roman" w:hAnsi="Times New Roman"/>
          <w:b/>
          <w:sz w:val="24"/>
          <w:lang w:val="es-ES"/>
        </w:rPr>
        <w:t>Alineación Estratégica</w:t>
      </w:r>
    </w:p>
    <w:p>
      <w:pPr>
        <w:spacing w:after="120"/>
        <w:rPr>
          <w:rFonts w:ascii="Times New Roman" w:cs="Times New Roman" w:hAnsi="Times New Roman"/>
          <w:lang w:val="es-ES"/>
        </w:rPr>
      </w:pPr>
      <w:r>
        <w:rPr>
          <w:rFonts w:ascii="Times New Roman" w:cs="Times New Roman" w:hAnsi="Times New Roman"/>
          <w:sz w:val="20"/>
          <w:lang w:val="es-ES"/>
        </w:rPr>
        <w:t>Matriz de Alineación Estratégica actualizada, la cual demuestra la relación secuencial directa: Objetivo organizacional → Objetivo analítico → Datos necesarios → Necesidad de Gobierno de Datos: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546"/>
        <w:gridCol w:w="1206"/>
        <w:gridCol w:w="1013"/>
        <w:gridCol w:w="1506"/>
        <w:gridCol w:w="1973"/>
        <w:gridCol w:w="1246"/>
        <w:gridCol w:w="1217"/>
        <w:gridCol w:w="953"/>
      </w:tblGrid>
      <w:tr>
        <w:tc>
          <w:tcPr>
            <w:tcW w:w="117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6"/>
              </w:rPr>
              <w:t>No.</w:t>
            </w:r>
          </w:p>
        </w:tc>
        <w:tc>
          <w:tcPr>
            <w:tcW w:w="117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6"/>
              </w:rPr>
              <w:t>Objetivo Organizacional</w:t>
            </w:r>
          </w:p>
        </w:tc>
        <w:tc>
          <w:tcPr>
            <w:tcW w:w="117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6"/>
              </w:rPr>
              <w:t>Necesidad de Información</w:t>
            </w:r>
          </w:p>
        </w:tc>
        <w:tc>
          <w:tcPr>
            <w:tcW w:w="117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6"/>
              </w:rPr>
              <w:t>Proceso Analítico</w:t>
            </w:r>
          </w:p>
        </w:tc>
        <w:tc>
          <w:tcPr>
            <w:tcW w:w="117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6"/>
              </w:rPr>
              <w:t>Datos Involucrados</w:t>
            </w:r>
          </w:p>
        </w:tc>
        <w:tc>
          <w:tcPr>
            <w:tcW w:w="117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6"/>
              </w:rPr>
              <w:t>Necesidad de Gobierno</w:t>
            </w:r>
          </w:p>
        </w:tc>
        <w:tc>
          <w:tcPr>
            <w:tcW w:w="117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6"/>
              </w:rPr>
              <w:t>Riesgo Relacionado</w:t>
            </w:r>
          </w:p>
        </w:tc>
        <w:tc>
          <w:tcPr>
            <w:tcW w:w="117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6"/>
              </w:rPr>
              <w:t>Prioridad</w:t>
            </w:r>
          </w:p>
        </w:tc>
      </w:tr>
      <w:tr>
        <w:tc>
          <w:tcPr>
            <w:tcW w:w="1170"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4"/>
              </w:rPr>
              <w:t>1</w:t>
            </w:r>
          </w:p>
        </w:tc>
        <w:tc>
          <w:tcPr>
            <w:tcW w:w="117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Reducir incumplimiento de SLA en las 95 rutas de zona Pacífico.</w:t>
            </w:r>
          </w:p>
        </w:tc>
        <w:tc>
          <w:tcPr>
            <w:tcW w:w="117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Identificar el porcentaje real de guías fuera de SLA.</w:t>
            </w:r>
          </w:p>
        </w:tc>
        <w:tc>
          <w:tcPr>
            <w:tcW w:w="117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Medición de KPI #1 y perfilado objetivo.</w:t>
            </w:r>
          </w:p>
        </w:tc>
        <w:tc>
          <w:tcPr>
            <w:tcW w:w="117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id_guia, entrega_fuera_sla, fecha_recoleccion</w:t>
            </w:r>
          </w:p>
        </w:tc>
        <w:tc>
          <w:tcPr>
            <w:tcW w:w="117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Obligar registro binario sin casillas en blanco.</w:t>
            </w:r>
          </w:p>
        </w:tc>
        <w:tc>
          <w:tcPr>
            <w:tcW w:w="117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Subestimación de fallas por guías nulas (R01).</w:t>
            </w:r>
          </w:p>
        </w:tc>
        <w:tc>
          <w:tcPr>
            <w:tcW w:w="117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Alta</w:t>
            </w:r>
          </w:p>
        </w:tc>
      </w:tr>
      <w:tr>
        <w:tc>
          <w:tcPr>
            <w:tcW w:w="1170"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4"/>
              </w:rPr>
              <w:t>2</w:t>
            </w:r>
          </w:p>
        </w:tc>
        <w:tc>
          <w:tcPr>
            <w:tcW w:w="1170"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Optimizar capacidad en franjas horarias complejas.</w:t>
            </w:r>
          </w:p>
        </w:tc>
        <w:tc>
          <w:tcPr>
            <w:tcW w:w="1170"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Analizar distribución de fallas por horario.</w:t>
            </w:r>
          </w:p>
        </w:tc>
        <w:tc>
          <w:tcPr>
            <w:tcW w:w="117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Segmentación bivariada por franja.</w:t>
            </w:r>
          </w:p>
        </w:tc>
        <w:tc>
          <w:tcPr>
            <w:tcW w:w="1170"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franja_entrega, entrega_fuera_sla</w:t>
            </w:r>
          </w:p>
        </w:tc>
        <w:tc>
          <w:tcPr>
            <w:tcW w:w="117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Estandarizar catálogos cerrados.</w:t>
            </w:r>
          </w:p>
        </w:tc>
        <w:tc>
          <w:tcPr>
            <w:tcW w:w="1170"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Reportes distorsionados por 'NOCTURNA' (R02).</w:t>
            </w:r>
          </w:p>
        </w:tc>
        <w:tc>
          <w:tcPr>
            <w:tcW w:w="117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Alta</w:t>
            </w:r>
          </w:p>
        </w:tc>
      </w:tr>
      <w:tr>
        <w:tc>
          <w:tcPr>
            <w:tcW w:w="1170"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4"/>
              </w:rPr>
              <w:t>3</w:t>
            </w:r>
          </w:p>
        </w:tc>
        <w:tc>
          <w:tcPr>
            <w:tcW w:w="117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Ajustar planificación de rutas críticas a tiempo.</w:t>
            </w:r>
          </w:p>
        </w:tc>
        <w:tc>
          <w:tcPr>
            <w:tcW w:w="117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Monitorear trazabilidad operativa diaria.</w:t>
            </w:r>
          </w:p>
        </w:tc>
        <w:tc>
          <w:tcPr>
            <w:tcW w:w="117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Cálculo de demora_carga_dias.</w:t>
            </w:r>
          </w:p>
        </w:tc>
        <w:tc>
          <w:tcPr>
            <w:tcW w:w="117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fecha_recoleccion, fecha_carga, sistema_origen</w:t>
            </w:r>
          </w:p>
        </w:tc>
        <w:tc>
          <w:tcPr>
            <w:tcW w:w="117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Definir tiempos máximos de sincronización.</w:t>
            </w:r>
          </w:p>
        </w:tc>
        <w:tc>
          <w:tcPr>
            <w:tcW w:w="117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Retrasos de carga de datos hasta 26 días (R03).</w:t>
            </w:r>
          </w:p>
        </w:tc>
        <w:tc>
          <w:tcPr>
            <w:tcW w:w="117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Alta</w:t>
            </w:r>
          </w:p>
        </w:tc>
      </w:tr>
      <w:tr>
        <w:tc>
          <w:tcPr>
            <w:tcW w:w="1170"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4"/>
              </w:rPr>
              <w:t>4</w:t>
            </w:r>
          </w:p>
        </w:tc>
        <w:tc>
          <w:tcPr>
            <w:tcW w:w="1170"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Garantizar cumplimiento normativo de privacidad.</w:t>
            </w:r>
          </w:p>
        </w:tc>
        <w:tc>
          <w:tcPr>
            <w:tcW w:w="1170"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Validar autorización explícita para análisis espacial.</w:t>
            </w:r>
          </w:p>
        </w:tc>
        <w:tc>
          <w:tcPr>
            <w:tcW w:w="1170"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Filtro analítico por consentimiento y seudonimización.</w:t>
            </w:r>
          </w:p>
        </w:tc>
        <w:tc>
          <w:tcPr>
            <w:tcW w:w="1170"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geolocalizacion_autorizada, GPS, id_guia</w:t>
            </w:r>
          </w:p>
        </w:tc>
        <w:tc>
          <w:tcPr>
            <w:tcW w:w="1170"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Establecer RBAC y banderas de consentimiento.</w:t>
            </w:r>
          </w:p>
        </w:tc>
        <w:tc>
          <w:tcPr>
            <w:tcW w:w="1170"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Uso no autorizado de geolocalización (R04).</w:t>
            </w:r>
          </w:p>
        </w:tc>
        <w:tc>
          <w:tcPr>
            <w:tcW w:w="117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Alta</w:t>
            </w:r>
          </w:p>
        </w:tc>
      </w:tr>
      <w:tr>
        <w:tc>
          <w:tcPr>
            <w:tcW w:w="1170"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4"/>
              </w:rPr>
              <w:t>5</w:t>
            </w:r>
          </w:p>
        </w:tc>
        <w:tc>
          <w:tcPr>
            <w:tcW w:w="117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Soportar modelo CART de alta precisión.</w:t>
            </w:r>
          </w:p>
        </w:tc>
        <w:tc>
          <w:tcPr>
            <w:tcW w:w="117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Parámetros limpios sin distorsión numérica.</w:t>
            </w:r>
          </w:p>
        </w:tc>
        <w:tc>
          <w:tcPr>
            <w:tcW w:w="117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Clasificación supervisada CART.</w:t>
            </w:r>
          </w:p>
        </w:tc>
        <w:tc>
          <w:tcPr>
            <w:tcW w:w="117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distancia_km, intentos_entrega, paradas_ruta, peso_kg</w:t>
            </w:r>
          </w:p>
        </w:tc>
        <w:tc>
          <w:tcPr>
            <w:tcW w:w="117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Validación en captura de límites físicos.</w:t>
            </w:r>
          </w:p>
        </w:tc>
        <w:tc>
          <w:tcPr>
            <w:tcW w:w="117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Clasificación errónea por valores fuera de rango (R05).</w:t>
            </w:r>
          </w:p>
        </w:tc>
        <w:tc>
          <w:tcPr>
            <w:tcW w:w="117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Media</w:t>
            </w:r>
          </w:p>
        </w:tc>
      </w:tr>
    </w:tbl>
    <w:p>
      <w:pPr>
        <w:pStyle w:val="20"/>
        <w:numPr>
          <w:ilvl w:val="0"/>
          <w:numId w:val="1"/>
        </w:numPr>
        <w:spacing w:before="280" w:after="120"/>
        <w:rPr>
          <w:rFonts w:ascii="Times New Roman" w:cs="Times New Roman" w:hAnsi="Times New Roman"/>
          <w:lang w:val="es-ES"/>
        </w:rPr>
      </w:pPr>
      <w:r>
        <w:rPr>
          <w:rFonts w:ascii="Times New Roman" w:cs="Times New Roman" w:hAnsi="Times New Roman"/>
          <w:b/>
          <w:color w:val="1A365D"/>
          <w:sz w:val="24"/>
          <w:lang w:val="es-ES"/>
        </w:rPr>
        <w:t>I</w:t>
      </w:r>
      <w:r>
        <w:rPr>
          <w:rFonts w:ascii="Times New Roman" w:cs="Times New Roman" w:hAnsi="Times New Roman"/>
          <w:b/>
          <w:sz w:val="24"/>
          <w:lang w:val="es-ES"/>
        </w:rPr>
        <w:t>nventario de Datos</w:t>
      </w:r>
    </w:p>
    <w:p>
      <w:pPr>
        <w:pStyle w:val="20"/>
        <w:spacing w:before="280" w:after="120"/>
        <w:ind w:left="360"/>
        <w:rPr>
          <w:rFonts w:ascii="Times New Roman" w:cs="Times New Roman" w:hAnsi="Times New Roman"/>
          <w:lang w:val="es-ES"/>
        </w:rPr>
      </w:pPr>
      <w:r>
        <w:rPr>
          <w:rFonts w:ascii="Times New Roman" w:cs="Times New Roman" w:hAnsi="Times New Roman"/>
          <w:sz w:val="20"/>
          <w:lang w:val="es-ES"/>
        </w:rPr>
        <w:t>principales datos utilizados y requeridos por el proceso analítico de Minería de Datos (Árboles CART) de RápidoPacífico Logística</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431"/>
        <w:gridCol w:w="1807"/>
        <w:gridCol w:w="1807"/>
        <w:gridCol w:w="1807"/>
        <w:gridCol w:w="1807"/>
      </w:tblGrid>
      <w:tr>
        <w:tc>
          <w:tcPr>
            <w:tcW w:w="2051"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7"/>
              </w:rPr>
              <w:t>Dato</w:t>
            </w:r>
          </w:p>
        </w:tc>
        <w:tc>
          <w:tcPr>
            <w:tcW w:w="1872"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7"/>
              </w:rPr>
              <w:t>Fuente</w:t>
            </w:r>
          </w:p>
        </w:tc>
        <w:tc>
          <w:tcPr>
            <w:tcW w:w="1872"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7"/>
              </w:rPr>
              <w:t>Proceso</w:t>
            </w:r>
          </w:p>
        </w:tc>
        <w:tc>
          <w:tcPr>
            <w:tcW w:w="1872"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7"/>
              </w:rPr>
              <w:t>Uso analítico</w:t>
            </w:r>
          </w:p>
        </w:tc>
        <w:tc>
          <w:tcPr>
            <w:tcW w:w="1872"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7"/>
              </w:rPr>
              <w:t>Responsable</w:t>
            </w:r>
          </w:p>
        </w:tc>
      </w:tr>
      <w:tr>
        <w:tc>
          <w:tcPr>
            <w:tcW w:w="2051"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id_guia</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TMS Pedidos</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Despacho y Entrega</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Identificador clave / Trazabilidad de registros</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Data Custodian (TI)</w:t>
            </w:r>
          </w:p>
        </w:tc>
      </w:tr>
      <w:tr>
        <w:tc>
          <w:tcPr>
            <w:tcW w:w="2051"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fecha_recoleccion</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TMS Recepción</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Recepciones en CD</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Análisis temporal y estacionalidad de rutas</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Data Steward (Supervisor)</w:t>
            </w:r>
          </w:p>
        </w:tc>
      </w:tr>
      <w:tr>
        <w:tc>
          <w:tcPr>
            <w:tcW w:w="2051"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zona_destino</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TMS Despacho</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Zonificación / Ruteo</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Segmentación / Predictor espacial en Árbol CART</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Data Steward (Supervisor)</w:t>
            </w:r>
          </w:p>
        </w:tc>
      </w:tr>
      <w:tr>
        <w:tc>
          <w:tcPr>
            <w:tcW w:w="2051"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tipo_servicio</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TMS Comercial</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Atención a Clientes</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Segmentación / Predictor de prioridad en Árbol CART</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Data Steward (Supervisor)</w:t>
            </w:r>
          </w:p>
        </w:tc>
      </w:tr>
      <w:tr>
        <w:tc>
          <w:tcPr>
            <w:tcW w:w="2051"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tipo_cliente</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TMS Comercial</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Atención a Clientes</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Segmentación por perfil de comportamiento</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Data Steward (Supervisor)</w:t>
            </w:r>
          </w:p>
        </w:tc>
      </w:tr>
      <w:tr>
        <w:tc>
          <w:tcPr>
            <w:tcW w:w="2051"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franja_entrega</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App Repartidor</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Asignación Itinerario</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Segmentación / Predictor temporal en Árbol CART</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Data Steward (Supervisor)</w:t>
            </w:r>
          </w:p>
        </w:tc>
      </w:tr>
      <w:tr>
        <w:tc>
          <w:tcPr>
            <w:tcW w:w="2051"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peso_kg</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Báscula / TMS</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Recepción y Carga</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Medición continua de capacidad e impacto físico</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Data Custodian (TI)</w:t>
            </w:r>
          </w:p>
        </w:tc>
      </w:tr>
      <w:tr>
        <w:tc>
          <w:tcPr>
            <w:tcW w:w="2051"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distancia_km</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GPS / TMS</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Tránsito de Ruta</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Medición continua de complejidad de la ruta</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Data Custodian (TI)</w:t>
            </w:r>
          </w:p>
        </w:tc>
      </w:tr>
      <w:tr>
        <w:tc>
          <w:tcPr>
            <w:tcW w:w="2051"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intentos_entrega</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App Repartidor</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Confirmación Entrega</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Medición / Predictor operacional de fricción</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Data Steward (Supervisor)</w:t>
            </w:r>
          </w:p>
        </w:tc>
      </w:tr>
      <w:tr>
        <w:tc>
          <w:tcPr>
            <w:tcW w:w="2051"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paradas_ruta</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TMS Rutero</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Planificación Rutas</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Medición / Predictor de saturación del itinerario</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Data Steward (Supervisor)</w:t>
            </w:r>
          </w:p>
        </w:tc>
      </w:tr>
      <w:tr>
        <w:tc>
          <w:tcPr>
            <w:tcW w:w="2051"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condicion_clima</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API Clima / App</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Tránsito de Ruta</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Análisis contextual de la operación espacial</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Data Steward (Supervisor)</w:t>
            </w:r>
          </w:p>
        </w:tc>
      </w:tr>
      <w:tr>
        <w:tc>
          <w:tcPr>
            <w:tcW w:w="2051"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sistema_origen</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Logs de TI</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Consolidación Datos</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Linaje de datos y auditoría de procedencia</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Data Custodian (TI)</w:t>
            </w:r>
          </w:p>
        </w:tc>
      </w:tr>
      <w:tr>
        <w:tc>
          <w:tcPr>
            <w:tcW w:w="2051"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entrega_fuera_sla</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App Repartidor</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Conciliación de Turno</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Variable Objetivo Target (1=Fuera / 0=En tiempo)</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Data Custodian (TI)</w:t>
            </w:r>
          </w:p>
        </w:tc>
      </w:tr>
      <w:tr>
        <w:tc>
          <w:tcPr>
            <w:tcW w:w="2051"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geolocalizacion_autorizada</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API App Móvil</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Captura de Coordenadas</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Filtro ético y legal de privacidad de datos</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Data Owner (Coordinador)</w:t>
            </w:r>
          </w:p>
        </w:tc>
      </w:tr>
      <w:tr>
        <w:tc>
          <w:tcPr>
            <w:tcW w:w="2051"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fecha_carga</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ETL / BD TMS</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Carga al Dataset</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Medición de latencia y oportunidad de ingesta</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Data Custodian (TI)</w:t>
            </w:r>
          </w:p>
        </w:tc>
      </w:tr>
      <w:tr>
        <w:tc>
          <w:tcPr>
            <w:tcW w:w="2051"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demora_carga_dias</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Calculado (ETL)</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Sincronización TI</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Análisis de Oportunidad (KPI de retraso de carga)</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Data Custodian (TI)</w:t>
            </w:r>
          </w:p>
        </w:tc>
      </w:tr>
    </w:tbl>
    <w:p>
      <w:pPr>
        <w:spacing w:before="280" w:after="120"/>
        <w:rPr>
          <w:rFonts w:ascii="Times New Roman" w:cs="Times New Roman" w:hAnsi="Times New Roman"/>
          <w:b/>
          <w:sz w:val="24"/>
        </w:rPr>
      </w:pPr>
    </w:p>
    <w:p>
      <w:pPr>
        <w:pStyle w:val="20"/>
        <w:numPr>
          <w:ilvl w:val="0"/>
          <w:numId w:val="1"/>
        </w:numPr>
        <w:spacing w:before="280" w:after="120"/>
        <w:rPr>
          <w:rFonts w:ascii="Times New Roman" w:cs="Times New Roman" w:hAnsi="Times New Roman"/>
        </w:rPr>
      </w:pPr>
      <w:r>
        <w:rPr>
          <w:rFonts w:ascii="Times New Roman" w:cs="Times New Roman" w:hAnsi="Times New Roman"/>
          <w:b/>
          <w:sz w:val="24"/>
        </w:rPr>
        <w:t>Actores Involucrados</w:t>
      </w:r>
    </w:p>
    <w:p>
      <w:pPr>
        <w:pStyle w:val="20"/>
        <w:numPr>
          <w:ilvl w:val="0"/>
          <w:numId w:val="3"/>
        </w:numPr>
        <w:spacing w:after="120"/>
        <w:rPr>
          <w:rFonts w:ascii="Times New Roman" w:cs="Times New Roman" w:hAnsi="Times New Roman"/>
          <w:lang w:val="es-ES"/>
        </w:rPr>
      </w:pPr>
      <w:r>
        <w:rPr>
          <w:rFonts w:ascii="Times New Roman" w:cs="Times New Roman" w:hAnsi="Times New Roman"/>
          <w:sz w:val="20"/>
          <w:lang w:val="es-ES"/>
        </w:rPr>
        <w:t>Mapa de Actores del Gobierno de Datos en RápidoPacífico Logística:</w:t>
      </w:r>
    </w:p>
    <w:p>
      <w:pPr>
        <w:pStyle w:val="20"/>
        <w:spacing w:after="120"/>
        <w:rPr>
          <w:rFonts w:ascii="Times New Roman" w:cs="Times New Roman" w:hAnsi="Times New Roman"/>
          <w:lang w:val="es-ES"/>
        </w:rPr>
      </w:pPr>
      <w:r>
        <w:rPr>
          <w:rFonts w:ascii="Times New Roman" w:cs="Times New Roman" w:hAnsi="Times New Roman"/>
          <w:sz w:val="20"/>
          <w:lang w:val="es-ES"/>
        </w:rPr>
        <w:drawing>
          <wp:inline distT="0" distB="0" distL="0" distR="0">
            <wp:extent cx="5943600" cy="3962400"/>
            <wp:effectExtent l="0" t="0" r="0" b="0"/>
            <wp:docPr id="10" name="Imágenes 10"/>
            <wp:cNvGraphicFramePr>
              <a:graphicFrameLocks noChangeAspect="1"/>
            </wp:cNvGraphicFramePr>
            <a:graphic>
              <a:graphicData uri="http://schemas.openxmlformats.org/drawingml/2006/picture">
                <pic:pic>
                  <pic:nvPicPr>
                    <pic:cNvPr id="12" name="Imágenes 12"/>
                    <pic:cNvPicPr/>
                  </pic:nvPicPr>
                  <pic:blipFill>
                    <a:blip r:embed="rId5"/>
                    <a:stretch>
                      <a:fillRect/>
                    </a:stretch>
                  </pic:blipFill>
                  <pic:spPr>
                    <a:xfrm rot="0">
                      <a:off x="0" y="0"/>
                      <a:ext cx="5943600" cy="3962400"/>
                    </a:xfrm>
                    <a:prstGeom prst="rect"/>
                    <a:noFill/>
                    <a:ln w="12700" cmpd="sng" cap="flat">
                      <a:noFill/>
                      <a:prstDash val="solid"/>
                      <a:round/>
                    </a:ln>
                  </pic:spPr>
                </pic:pic>
              </a:graphicData>
            </a:graphic>
          </wp:inline>
        </w:drawing>
      </w:r>
    </w:p>
    <w:p>
      <w:pPr>
        <w:pStyle w:val="20"/>
        <w:spacing w:after="120"/>
        <w:rPr>
          <w:rFonts w:ascii="Times New Roman" w:cs="Times New Roman" w:hAnsi="Times New Roman"/>
          <w:lang w:val="es-ES"/>
        </w:rPr>
      </w:pPr>
    </w:p>
    <w:p>
      <w:pPr>
        <w:pStyle w:val="20"/>
        <w:numPr>
          <w:ilvl w:val="0"/>
          <w:numId w:val="1"/>
        </w:numPr>
        <w:spacing w:before="280" w:after="120"/>
        <w:rPr>
          <w:rFonts w:ascii="Times New Roman" w:cs="Times New Roman" w:hAnsi="Times New Roman"/>
          <w:lang w:val="es-ES"/>
        </w:rPr>
      </w:pPr>
      <w:r>
        <w:rPr>
          <w:rFonts w:ascii="Times New Roman" w:cs="Times New Roman" w:hAnsi="Times New Roman"/>
          <w:b/>
          <w:sz w:val="24"/>
          <w:lang w:val="es-ES"/>
        </w:rPr>
        <w:t>Roles y Responsabilidades</w:t>
      </w:r>
    </w:p>
    <w:p>
      <w:pPr>
        <w:spacing w:after="120"/>
        <w:rPr>
          <w:rFonts w:ascii="Times New Roman" w:cs="Times New Roman" w:hAnsi="Times New Roman"/>
          <w:lang w:val="es-ES"/>
        </w:rPr>
      </w:pPr>
      <w:r>
        <w:rPr>
          <w:rFonts w:ascii="Times New Roman" w:cs="Times New Roman" w:hAnsi="Times New Roman"/>
          <w:sz w:val="20"/>
          <w:lang w:val="es-ES"/>
        </w:rPr>
        <w:t>Se detalla la Matriz de Roles y Responsabilidades de Gobierno de Datos bajo el marco DAMA-DMBOK aplicada al caso RápidoPacífico Logística:</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120"/>
        <w:gridCol w:w="3120"/>
        <w:gridCol w:w="3120"/>
      </w:tblGrid>
      <w:tr>
        <w:tc>
          <w:tcPr>
            <w:tcW w:w="312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7"/>
              </w:rPr>
              <w:t>Rol de Gobierno</w:t>
            </w:r>
          </w:p>
        </w:tc>
        <w:tc>
          <w:tcPr>
            <w:tcW w:w="312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7"/>
              </w:rPr>
              <w:t>Cargo Organizacional</w:t>
            </w:r>
          </w:p>
        </w:tc>
        <w:tc>
          <w:tcPr>
            <w:tcW w:w="3120" w:type="dxa"/>
            <w:shd w:val="clear" w:color="auto" w:fill="1A365D"/>
            <w:tcMar>
              <w:top w:w="100" w:type="dxa"/>
              <w:left w:w="150" w:type="dxa"/>
              <w:bottom w:w="100" w:type="dxa"/>
              <w:right w:w="150" w:type="dxa"/>
            </w:tcMar>
          </w:tcPr>
          <w:p>
            <w:pPr>
              <w:jc w:val="center"/>
              <w:rPr>
                <w:rFonts w:ascii="Times New Roman" w:cs="Times New Roman" w:hAnsi="Times New Roman"/>
                <w:lang w:val="es-ES"/>
              </w:rPr>
            </w:pPr>
            <w:r>
              <w:rPr>
                <w:rFonts w:ascii="Times New Roman" w:cs="Times New Roman" w:hAnsi="Times New Roman"/>
                <w:b/>
                <w:color w:val="FFFFFF"/>
                <w:sz w:val="17"/>
                <w:lang w:val="es-ES"/>
              </w:rPr>
              <w:t>Responsabilidades Principales en el Gobierno de Datos</w:t>
            </w:r>
          </w:p>
        </w:tc>
      </w:tr>
      <w:tr>
        <w:tc>
          <w:tcPr>
            <w:tcW w:w="312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Data Owner (Propietario de Datos)</w:t>
            </w:r>
          </w:p>
        </w:tc>
        <w:tc>
          <w:tcPr>
            <w:tcW w:w="312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Coordinador Logístico</w:t>
            </w:r>
          </w:p>
        </w:tc>
        <w:tc>
          <w:tcPr>
            <w:tcW w:w="312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Responsable del dominio de datos de transporte. Aprueba políticas de calidad, reglas de negocio SLA, listas maestras y autoriza el uso de datos con consentimiento GPS.</w:t>
            </w:r>
          </w:p>
        </w:tc>
      </w:tr>
      <w:tr>
        <w:tc>
          <w:tcPr>
            <w:tcW w:w="312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Data Steward (Custodio Operativo)</w:t>
            </w:r>
          </w:p>
        </w:tc>
        <w:tc>
          <w:tcPr>
            <w:tcW w:w="312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Supervisor Logístico</w:t>
            </w:r>
          </w:p>
        </w:tc>
        <w:tc>
          <w:tcPr>
            <w:tcW w:w="312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lang w:val="es-ES"/>
              </w:rPr>
              <w:t xml:space="preserve">Asegura la calidad diaria de los datos. Audita registros incompletos o fuera de rango, gestiona correcciones categóricas (ej. </w:t>
            </w:r>
            <w:r>
              <w:rPr>
                <w:rFonts w:ascii="Times New Roman" w:cs="Times New Roman" w:hAnsi="Times New Roman"/>
                <w:sz w:val="18"/>
                <w:szCs w:val="18"/>
              </w:rPr>
              <w:t>'NOCTURNA') y capacita a conductores.</w:t>
            </w:r>
          </w:p>
        </w:tc>
      </w:tr>
      <w:tr>
        <w:tc>
          <w:tcPr>
            <w:tcW w:w="312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Data Custodian (Custodio Técnico)</w:t>
            </w:r>
          </w:p>
        </w:tc>
        <w:tc>
          <w:tcPr>
            <w:tcW w:w="312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Administrador TMS / TI</w:t>
            </w:r>
          </w:p>
        </w:tc>
        <w:tc>
          <w:tcPr>
            <w:tcW w:w="312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Gestiona la infraestructura técnica, bases de datos SQL Server y API. Configura restricciones NOT NULL, menús desplegables, RBAC, copias de seguridad y ejecutables ETL.</w:t>
            </w:r>
          </w:p>
        </w:tc>
      </w:tr>
      <w:tr>
        <w:tc>
          <w:tcPr>
            <w:tcW w:w="312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Consumidor de Datos</w:t>
            </w:r>
          </w:p>
        </w:tc>
        <w:tc>
          <w:tcPr>
            <w:tcW w:w="312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Gerente de Operaciones</w:t>
            </w:r>
          </w:p>
        </w:tc>
        <w:tc>
          <w:tcPr>
            <w:tcW w:w="3120"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Utiliza los datasets gobernados v1 y los resultados del modelo de Minería CART en dashboards BI para la reestructuración de rutas y toma de decisiones estratégicas.</w:t>
            </w:r>
          </w:p>
        </w:tc>
      </w:tr>
      <w:tr>
        <w:tc>
          <w:tcPr>
            <w:tcW w:w="312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Generador / Capturador de Datos</w:t>
            </w:r>
          </w:p>
        </w:tc>
        <w:tc>
          <w:tcPr>
            <w:tcW w:w="312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Conductores y Repartidores</w:t>
            </w:r>
          </w:p>
        </w:tc>
        <w:tc>
          <w:tcPr>
            <w:tcW w:w="312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Ingresan los datos operativos primarios en tiempo real a través de la App Móvil (estatus SLA, franja horaria, intentos) y registran el pesaje en báscula del CD.</w:t>
            </w:r>
          </w:p>
        </w:tc>
      </w:tr>
    </w:tbl>
    <w:p>
      <w:pPr>
        <w:pStyle w:val="20"/>
        <w:numPr>
          <w:ilvl w:val="0"/>
          <w:numId w:val="1"/>
        </w:numPr>
        <w:spacing w:before="280" w:after="120"/>
        <w:rPr>
          <w:rFonts w:ascii="Times New Roman" w:cs="Times New Roman" w:hAnsi="Times New Roman"/>
          <w:lang w:val="es-ES"/>
        </w:rPr>
      </w:pPr>
      <w:r>
        <w:rPr>
          <w:rFonts w:ascii="Times New Roman" w:cs="Times New Roman" w:hAnsi="Times New Roman"/>
          <w:b/>
          <w:sz w:val="24"/>
          <w:lang w:val="es-ES"/>
        </w:rPr>
        <w:t>Matriz RACI</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560"/>
        <w:gridCol w:w="1560"/>
        <w:gridCol w:w="1560"/>
        <w:gridCol w:w="1560"/>
        <w:gridCol w:w="1560"/>
        <w:gridCol w:w="1560"/>
      </w:tblGrid>
      <w:tr>
        <w:tc>
          <w:tcPr>
            <w:tcW w:w="1560" w:type="dxa"/>
            <w:shd w:val="clear" w:color="auto" w:fill="1A365D"/>
            <w:tcMar>
              <w:top w:w="100" w:type="dxa"/>
              <w:left w:w="150" w:type="dxa"/>
              <w:bottom w:w="100" w:type="dxa"/>
              <w:right w:w="150" w:type="dxa"/>
            </w:tcMar>
          </w:tcPr>
          <w:p>
            <w:pPr>
              <w:jc w:val="center"/>
              <w:rPr>
                <w:rFonts w:ascii="Times New Roman" w:cs="Times New Roman" w:hAnsi="Times New Roman"/>
                <w:lang w:val="es-ES"/>
              </w:rPr>
            </w:pPr>
            <w:r>
              <w:rPr>
                <w:rFonts w:ascii="Times New Roman" w:cs="Times New Roman" w:hAnsi="Times New Roman"/>
                <w:b/>
                <w:color w:val="FFFFFF"/>
                <w:sz w:val="16"/>
                <w:lang w:val="es-ES"/>
              </w:rPr>
              <w:t>Actividad / Práctica de Gobierno de Datos</w:t>
            </w:r>
          </w:p>
        </w:tc>
        <w:tc>
          <w:tcPr>
            <w:tcW w:w="156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6"/>
              </w:rPr>
              <w:t>Conductores / Repartidores</w:t>
            </w:r>
          </w:p>
        </w:tc>
        <w:tc>
          <w:tcPr>
            <w:tcW w:w="156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6"/>
              </w:rPr>
              <w:t>Supervisor (Data Steward)</w:t>
            </w:r>
          </w:p>
        </w:tc>
        <w:tc>
          <w:tcPr>
            <w:tcW w:w="156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6"/>
              </w:rPr>
              <w:t>Administrador TMS / TI (Data Custodian)</w:t>
            </w:r>
          </w:p>
        </w:tc>
        <w:tc>
          <w:tcPr>
            <w:tcW w:w="156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6"/>
              </w:rPr>
              <w:t>Gerente de Operaciones</w:t>
            </w:r>
          </w:p>
        </w:tc>
        <w:tc>
          <w:tcPr>
            <w:tcW w:w="156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6"/>
              </w:rPr>
              <w:t>Coordinador Logístico (Data Owner)</w:t>
            </w:r>
          </w:p>
        </w:tc>
      </w:tr>
      <w:tr>
        <w:tc>
          <w:tcPr>
            <w:tcW w:w="156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Definir catálogo maestro de franjas horarias y zonas de destino</w:t>
            </w:r>
          </w:p>
        </w:tc>
        <w:tc>
          <w:tcPr>
            <w:tcW w:w="156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Consultado (C)</w:t>
            </w:r>
          </w:p>
        </w:tc>
        <w:tc>
          <w:tcPr>
            <w:tcW w:w="156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Responsable (R)</w:t>
            </w:r>
          </w:p>
        </w:tc>
        <w:tc>
          <w:tcPr>
            <w:tcW w:w="156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Consultado (C)</w:t>
            </w:r>
          </w:p>
        </w:tc>
        <w:tc>
          <w:tcPr>
            <w:tcW w:w="156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Informado (I)</w:t>
            </w:r>
          </w:p>
        </w:tc>
        <w:tc>
          <w:tcPr>
            <w:tcW w:w="156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Aprobador (A)</w:t>
            </w:r>
          </w:p>
        </w:tc>
      </w:tr>
      <w:tr>
        <w:tc>
          <w:tcPr>
            <w:tcW w:w="1560"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Configurar validaciones estrictas NOT NULL y desplegables en App/TMS</w:t>
            </w:r>
          </w:p>
        </w:tc>
        <w:tc>
          <w:tcPr>
            <w:tcW w:w="156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Consultado (C)</w:t>
            </w:r>
          </w:p>
        </w:tc>
        <w:tc>
          <w:tcPr>
            <w:tcW w:w="156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Consultado (C)</w:t>
            </w:r>
          </w:p>
        </w:tc>
        <w:tc>
          <w:tcPr>
            <w:tcW w:w="156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Responsable (R)</w:t>
            </w:r>
          </w:p>
        </w:tc>
        <w:tc>
          <w:tcPr>
            <w:tcW w:w="156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Informado (I)</w:t>
            </w:r>
          </w:p>
        </w:tc>
        <w:tc>
          <w:tcPr>
            <w:tcW w:w="156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Aprobador (A)</w:t>
            </w:r>
          </w:p>
        </w:tc>
      </w:tr>
      <w:tr>
        <w:tc>
          <w:tcPr>
            <w:tcW w:w="156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Auditar semanalmente registros incompletos, duplicados y fuera de rango</w:t>
            </w:r>
          </w:p>
        </w:tc>
        <w:tc>
          <w:tcPr>
            <w:tcW w:w="156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Consultado (C)</w:t>
            </w:r>
          </w:p>
        </w:tc>
        <w:tc>
          <w:tcPr>
            <w:tcW w:w="156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Responsable (R)</w:t>
            </w:r>
          </w:p>
        </w:tc>
        <w:tc>
          <w:tcPr>
            <w:tcW w:w="156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Consultado (C)</w:t>
            </w:r>
          </w:p>
        </w:tc>
        <w:tc>
          <w:tcPr>
            <w:tcW w:w="156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Informado (I)</w:t>
            </w:r>
          </w:p>
        </w:tc>
        <w:tc>
          <w:tcPr>
            <w:tcW w:w="156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Aprobador (A)</w:t>
            </w:r>
          </w:p>
        </w:tc>
      </w:tr>
      <w:tr>
        <w:tc>
          <w:tcPr>
            <w:tcW w:w="1560"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Aprobar políticas de seguridad, privacidad y consentimiento GPS</w:t>
            </w:r>
          </w:p>
        </w:tc>
        <w:tc>
          <w:tcPr>
            <w:tcW w:w="156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Informado (I)</w:t>
            </w:r>
          </w:p>
        </w:tc>
        <w:tc>
          <w:tcPr>
            <w:tcW w:w="156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Consultado (C)</w:t>
            </w:r>
          </w:p>
        </w:tc>
        <w:tc>
          <w:tcPr>
            <w:tcW w:w="156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Responsable (R)</w:t>
            </w:r>
          </w:p>
        </w:tc>
        <w:tc>
          <w:tcPr>
            <w:tcW w:w="156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Consultado (C)</w:t>
            </w:r>
          </w:p>
        </w:tc>
        <w:tc>
          <w:tcPr>
            <w:tcW w:w="156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Aprobador (A)</w:t>
            </w:r>
          </w:p>
        </w:tc>
      </w:tr>
      <w:tr>
        <w:tc>
          <w:tcPr>
            <w:tcW w:w="156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Aprobar cambios en reglas de negocio y ventanas de tiempo SLA</w:t>
            </w:r>
          </w:p>
        </w:tc>
        <w:tc>
          <w:tcPr>
            <w:tcW w:w="156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Consultado (C)</w:t>
            </w:r>
          </w:p>
        </w:tc>
        <w:tc>
          <w:tcPr>
            <w:tcW w:w="156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Consultado (C)</w:t>
            </w:r>
          </w:p>
        </w:tc>
        <w:tc>
          <w:tcPr>
            <w:tcW w:w="156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Informado (I)</w:t>
            </w:r>
          </w:p>
        </w:tc>
        <w:tc>
          <w:tcPr>
            <w:tcW w:w="156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Consultado (C)</w:t>
            </w:r>
          </w:p>
        </w:tc>
        <w:tc>
          <w:tcPr>
            <w:tcW w:w="156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Aprobador (A)</w:t>
            </w:r>
          </w:p>
        </w:tc>
      </w:tr>
      <w:tr>
        <w:tc>
          <w:tcPr>
            <w:tcW w:w="1560"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Publicar tableros oficiales de calidad de datos y KPIs de incumplimiento</w:t>
            </w:r>
          </w:p>
        </w:tc>
        <w:tc>
          <w:tcPr>
            <w:tcW w:w="156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Informado (I)</w:t>
            </w:r>
          </w:p>
        </w:tc>
        <w:tc>
          <w:tcPr>
            <w:tcW w:w="156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Responsable (R)</w:t>
            </w:r>
          </w:p>
        </w:tc>
        <w:tc>
          <w:tcPr>
            <w:tcW w:w="156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Consultado (C)</w:t>
            </w:r>
          </w:p>
        </w:tc>
        <w:tc>
          <w:tcPr>
            <w:tcW w:w="156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Consumidor (I)</w:t>
            </w:r>
          </w:p>
        </w:tc>
        <w:tc>
          <w:tcPr>
            <w:tcW w:w="156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Aprobador (A)</w:t>
            </w:r>
          </w:p>
        </w:tc>
      </w:tr>
    </w:tbl>
    <w:p>
      <w:pPr>
        <w:pStyle w:val="20"/>
        <w:numPr>
          <w:ilvl w:val="0"/>
          <w:numId w:val="1"/>
        </w:numPr>
        <w:spacing w:before="280" w:after="120"/>
        <w:rPr>
          <w:rFonts w:ascii="Times New Roman" w:cs="Times New Roman" w:hAnsi="Times New Roman"/>
          <w:lang w:val="es-ES"/>
        </w:rPr>
      </w:pPr>
      <w:r>
        <w:rPr>
          <w:rFonts w:ascii="Times New Roman" w:cs="Times New Roman" w:hAnsi="Times New Roman"/>
          <w:b/>
          <w:sz w:val="24"/>
          <w:lang w:val="es-ES"/>
        </w:rPr>
        <w:t>Matriz de Riesgos y Beneficios</w:t>
      </w:r>
    </w:p>
    <w:p>
      <w:pPr>
        <w:spacing w:after="120"/>
        <w:rPr>
          <w:rFonts w:ascii="Times New Roman" w:cs="Times New Roman" w:hAnsi="Times New Roman"/>
          <w:lang w:val="es-ES"/>
        </w:rPr>
      </w:pPr>
      <w:r>
        <w:rPr>
          <w:rFonts w:ascii="Times New Roman" w:cs="Times New Roman" w:hAnsi="Times New Roman"/>
          <w:sz w:val="20"/>
          <w:lang w:val="es-ES"/>
        </w:rPr>
        <w:t>Matriz de Riesgos y Beneficios basada en COBIT 2019 (procesos APO12, APO14, EDM03)</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13"/>
        <w:gridCol w:w="1586"/>
        <w:gridCol w:w="1414"/>
        <w:gridCol w:w="402"/>
        <w:gridCol w:w="401"/>
        <w:gridCol w:w="732"/>
        <w:gridCol w:w="2283"/>
        <w:gridCol w:w="1356"/>
        <w:gridCol w:w="872"/>
      </w:tblGrid>
      <w:tr>
        <w:tc>
          <w:tcPr>
            <w:tcW w:w="104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6"/>
              </w:rPr>
              <w:t>ID</w:t>
            </w:r>
          </w:p>
        </w:tc>
        <w:tc>
          <w:tcPr>
            <w:tcW w:w="104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6"/>
              </w:rPr>
              <w:t>Proceso / Dato</w:t>
            </w:r>
          </w:p>
        </w:tc>
        <w:tc>
          <w:tcPr>
            <w:tcW w:w="104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6"/>
              </w:rPr>
              <w:t>Riesgo</w:t>
            </w:r>
          </w:p>
        </w:tc>
        <w:tc>
          <w:tcPr>
            <w:tcW w:w="104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6"/>
              </w:rPr>
              <w:t>P</w:t>
            </w:r>
          </w:p>
        </w:tc>
        <w:tc>
          <w:tcPr>
            <w:tcW w:w="104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6"/>
              </w:rPr>
              <w:t>I</w:t>
            </w:r>
          </w:p>
        </w:tc>
        <w:tc>
          <w:tcPr>
            <w:tcW w:w="104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6"/>
              </w:rPr>
              <w:t>Nivel</w:t>
            </w:r>
          </w:p>
        </w:tc>
        <w:tc>
          <w:tcPr>
            <w:tcW w:w="104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6"/>
              </w:rPr>
              <w:t>Tratamiento / Política</w:t>
            </w:r>
          </w:p>
        </w:tc>
        <w:tc>
          <w:tcPr>
            <w:tcW w:w="104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6"/>
              </w:rPr>
              <w:t>Beneficio Esperado</w:t>
            </w:r>
          </w:p>
        </w:tc>
        <w:tc>
          <w:tcPr>
            <w:tcW w:w="104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6"/>
              </w:rPr>
              <w:t>COBIT 2019</w:t>
            </w:r>
          </w:p>
        </w:tc>
      </w:tr>
      <w:tr>
        <w:tc>
          <w:tcPr>
            <w:tcW w:w="104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R01</w:t>
            </w:r>
          </w:p>
        </w:tc>
        <w:tc>
          <w:tcPr>
            <w:tcW w:w="104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entrega_fuera_sla</w:t>
            </w:r>
          </w:p>
        </w:tc>
        <w:tc>
          <w:tcPr>
            <w:tcW w:w="104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Subestimación del incumplimiento por 6 registros nulos.</w:t>
            </w:r>
          </w:p>
        </w:tc>
        <w:tc>
          <w:tcPr>
            <w:tcW w:w="104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3</w:t>
            </w:r>
          </w:p>
        </w:tc>
        <w:tc>
          <w:tcPr>
            <w:tcW w:w="104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3</w:t>
            </w:r>
          </w:p>
        </w:tc>
        <w:tc>
          <w:tcPr>
            <w:tcW w:w="104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9 (Alto)</w:t>
            </w:r>
          </w:p>
        </w:tc>
        <w:tc>
          <w:tcPr>
            <w:tcW w:w="104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POL-CAL-01: Bloqueo backend para obligar llenado binario antes de cerrar.</w:t>
            </w:r>
          </w:p>
        </w:tc>
        <w:tc>
          <w:tcPr>
            <w:tcW w:w="104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100% completitud (354 registros válidos) y visibilidad real de fallas.</w:t>
            </w:r>
          </w:p>
        </w:tc>
        <w:tc>
          <w:tcPr>
            <w:tcW w:w="104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APO12 / APO14</w:t>
            </w:r>
          </w:p>
        </w:tc>
      </w:tr>
      <w:tr>
        <w:tc>
          <w:tcPr>
            <w:tcW w:w="104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R02</w:t>
            </w:r>
          </w:p>
        </w:tc>
        <w:tc>
          <w:tcPr>
            <w:tcW w:w="104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franja_entrega</w:t>
            </w:r>
          </w:p>
        </w:tc>
        <w:tc>
          <w:tcPr>
            <w:tcW w:w="1040"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Fallas de agrupamiento por error de etiqueta 'NOCTURNA' (2 casos) vs 'Nocturna' (99 casos).</w:t>
            </w:r>
          </w:p>
        </w:tc>
        <w:tc>
          <w:tcPr>
            <w:tcW w:w="104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3</w:t>
            </w:r>
          </w:p>
        </w:tc>
        <w:tc>
          <w:tcPr>
            <w:tcW w:w="104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2</w:t>
            </w:r>
          </w:p>
        </w:tc>
        <w:tc>
          <w:tcPr>
            <w:tcW w:w="104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6 (Alto)</w:t>
            </w:r>
          </w:p>
        </w:tc>
        <w:tc>
          <w:tcPr>
            <w:tcW w:w="1040"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POL-EST-02: Selector desplegable con catálogo cerrado {'AM', 'PM', 'Nocturna', 'Sin franja'}.</w:t>
            </w:r>
          </w:p>
        </w:tc>
        <w:tc>
          <w:tcPr>
            <w:tcW w:w="1040"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Eliminación de duplicidad categórica y consolidación exacta de 101 casos nocturnos.</w:t>
            </w:r>
          </w:p>
        </w:tc>
        <w:tc>
          <w:tcPr>
            <w:tcW w:w="104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APO14</w:t>
            </w:r>
          </w:p>
        </w:tc>
      </w:tr>
      <w:tr>
        <w:tc>
          <w:tcPr>
            <w:tcW w:w="104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R03</w:t>
            </w:r>
          </w:p>
        </w:tc>
        <w:tc>
          <w:tcPr>
            <w:tcW w:w="104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fecha_carga</w:t>
            </w:r>
          </w:p>
        </w:tc>
        <w:tc>
          <w:tcPr>
            <w:tcW w:w="104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Cargas tardías al sistema analítico con promedio de 1.63 días y máximo de 26 días de retraso.</w:t>
            </w:r>
          </w:p>
        </w:tc>
        <w:tc>
          <w:tcPr>
            <w:tcW w:w="104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2</w:t>
            </w:r>
          </w:p>
        </w:tc>
        <w:tc>
          <w:tcPr>
            <w:tcW w:w="104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3</w:t>
            </w:r>
          </w:p>
        </w:tc>
        <w:tc>
          <w:tcPr>
            <w:tcW w:w="104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6 (Alto)</w:t>
            </w:r>
          </w:p>
        </w:tc>
        <w:tc>
          <w:tcPr>
            <w:tcW w:w="104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POL-OPO-03: Liquidación digital al cierre de turno y monitoreo de `demora_carga_dias`.</w:t>
            </w:r>
          </w:p>
        </w:tc>
        <w:tc>
          <w:tcPr>
            <w:tcW w:w="104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Sincronización máxima en 24 horas y erradicación de desfasajes acumulados.</w:t>
            </w:r>
          </w:p>
        </w:tc>
        <w:tc>
          <w:tcPr>
            <w:tcW w:w="104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EDM03 / APO12</w:t>
            </w:r>
          </w:p>
        </w:tc>
      </w:tr>
      <w:tr>
        <w:tc>
          <w:tcPr>
            <w:tcW w:w="104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R04</w:t>
            </w:r>
          </w:p>
        </w:tc>
        <w:tc>
          <w:tcPr>
            <w:tcW w:w="104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geolocalizacion</w:t>
            </w:r>
          </w:p>
        </w:tc>
        <w:tc>
          <w:tcPr>
            <w:tcW w:w="1040"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Uso no autorizado de GPS (47 registros 'No autorizada' y 3 nulos).</w:t>
            </w:r>
          </w:p>
        </w:tc>
        <w:tc>
          <w:tcPr>
            <w:tcW w:w="104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2</w:t>
            </w:r>
          </w:p>
        </w:tc>
        <w:tc>
          <w:tcPr>
            <w:tcW w:w="104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3</w:t>
            </w:r>
          </w:p>
        </w:tc>
        <w:tc>
          <w:tcPr>
            <w:tcW w:w="104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6 (Alto)</w:t>
            </w:r>
          </w:p>
        </w:tc>
        <w:tc>
          <w:tcPr>
            <w:tcW w:w="1040"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POL-SEC-04: Seudonimización, RBAC y filtro por bandera `geolocalizacion_autorizada`.</w:t>
            </w:r>
          </w:p>
        </w:tc>
        <w:tc>
          <w:tcPr>
            <w:tcW w:w="1040"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Cumplimiento normativo, ético y protección legal de privacidad.</w:t>
            </w:r>
          </w:p>
        </w:tc>
        <w:tc>
          <w:tcPr>
            <w:tcW w:w="104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EDM03 / APO14</w:t>
            </w:r>
          </w:p>
        </w:tc>
      </w:tr>
    </w:tbl>
    <w:p>
      <w:pPr>
        <w:pStyle w:val="20"/>
        <w:numPr>
          <w:ilvl w:val="0"/>
          <w:numId w:val="1"/>
        </w:numPr>
        <w:spacing w:before="280" w:after="120"/>
        <w:rPr>
          <w:rFonts w:ascii="Times New Roman" w:cs="Times New Roman" w:hAnsi="Times New Roman"/>
          <w:lang w:val="es-ES"/>
        </w:rPr>
      </w:pPr>
      <w:r>
        <w:rPr>
          <w:rFonts w:ascii="Times New Roman" w:cs="Times New Roman" w:hAnsi="Times New Roman"/>
          <w:b/>
          <w:sz w:val="24"/>
          <w:lang w:val="es-ES"/>
        </w:rPr>
        <w:t>Políticas de Gobierno de Datos</w:t>
      </w:r>
    </w:p>
    <w:p>
      <w:pPr>
        <w:pStyle w:val="20"/>
        <w:spacing w:before="280" w:after="120"/>
        <w:ind w:left="360"/>
        <w:rPr>
          <w:rFonts w:ascii="Times New Roman" w:cs="Times New Roman" w:hAnsi="Times New Roman"/>
          <w:lang w:val="es-ES"/>
        </w:rPr>
      </w:pPr>
    </w:p>
    <w:p>
      <w:pPr>
        <w:spacing w:before="200" w:after="80"/>
        <w:rPr>
          <w:rFonts w:ascii="Times New Roman" w:cs="Times New Roman" w:hAnsi="Times New Roman"/>
          <w:lang w:val="es-ES"/>
        </w:rPr>
      </w:pPr>
      <w:r>
        <w:rPr>
          <w:rFonts w:ascii="Times New Roman" w:cs="Times New Roman" w:hAnsi="Times New Roman"/>
          <w:b/>
          <w:lang w:val="es-ES"/>
        </w:rPr>
        <w:t>POL-CAL-01 Política de Calidad y Completitud de Datos de Entrega SLA</w:t>
      </w:r>
    </w:p>
    <w:p>
      <w:pPr>
        <w:pStyle w:val="20"/>
        <w:spacing w:after="120"/>
        <w:rPr>
          <w:rFonts w:ascii="Times New Roman" w:cs="Times New Roman" w:hAnsi="Times New Roman"/>
          <w:lang w:val="es-ES"/>
        </w:rPr>
      </w:pPr>
    </w:p>
    <w:p>
      <w:pPr>
        <w:pStyle w:val="20"/>
        <w:numPr>
          <w:ilvl w:val="0"/>
          <w:numId w:val="3"/>
        </w:numPr>
        <w:spacing w:after="120"/>
        <w:rPr>
          <w:rFonts w:ascii="Times New Roman" w:cs="Times New Roman" w:hAnsi="Times New Roman"/>
          <w:lang w:val="es-ES"/>
        </w:rPr>
      </w:pPr>
      <w:r>
        <w:rPr>
          <w:rFonts w:ascii="Times New Roman" w:cs="Times New Roman" w:hAnsi="Times New Roman"/>
          <w:sz w:val="20"/>
          <w:lang w:val="es-ES"/>
        </w:rPr>
        <w:t>Objetivo: Garantizar que el 100% de las guías de transporte cuenten con la confirmación binaria de cumplimiento SLA sin casillas en blanco.</w:t>
      </w:r>
    </w:p>
    <w:p>
      <w:pPr>
        <w:pStyle w:val="20"/>
        <w:numPr>
          <w:ilvl w:val="0"/>
          <w:numId w:val="3"/>
        </w:numPr>
        <w:spacing w:after="120"/>
        <w:rPr>
          <w:rFonts w:ascii="Times New Roman" w:cs="Times New Roman" w:hAnsi="Times New Roman"/>
          <w:lang w:val="es-ES"/>
        </w:rPr>
      </w:pPr>
      <w:r>
        <w:rPr>
          <w:rFonts w:ascii="Times New Roman" w:cs="Times New Roman" w:hAnsi="Times New Roman"/>
          <w:sz w:val="20"/>
          <w:lang w:val="es-ES"/>
        </w:rPr>
        <w:t>Alcance: Aplica a todos los registros de despacho de paquetes capturados en la App Móvil y liquidados en el TMS de RápidoPacífico Logística.</w:t>
      </w:r>
    </w:p>
    <w:p>
      <w:pPr>
        <w:pStyle w:val="20"/>
        <w:spacing w:after="120"/>
        <w:rPr>
          <w:rFonts w:ascii="Times New Roman" w:cs="Times New Roman" w:hAnsi="Times New Roman"/>
          <w:lang w:val="es-ES"/>
        </w:rPr>
      </w:pPr>
    </w:p>
    <w:p>
      <w:pPr>
        <w:pStyle w:val="20"/>
        <w:numPr>
          <w:ilvl w:val="0"/>
          <w:numId w:val="3"/>
        </w:numPr>
        <w:spacing w:after="120"/>
        <w:rPr>
          <w:rFonts w:ascii="Times New Roman" w:cs="Times New Roman" w:hAnsi="Times New Roman"/>
          <w:lang w:val="es-ES"/>
        </w:rPr>
      </w:pPr>
      <w:r>
        <w:rPr>
          <w:rFonts w:ascii="Times New Roman" w:cs="Times New Roman" w:hAnsi="Times New Roman"/>
          <w:sz w:val="20"/>
          <w:lang w:val="es-ES"/>
        </w:rPr>
        <w:t>Datos Afectados: entrega_fuera_sla, id_guia, fecha_recoleccion, peso_kg, distancia_km.</w:t>
      </w:r>
    </w:p>
    <w:p>
      <w:pPr>
        <w:pStyle w:val="20"/>
        <w:spacing w:after="120"/>
        <w:rPr>
          <w:rFonts w:ascii="Times New Roman" w:cs="Times New Roman" w:hAnsi="Times New Roman"/>
          <w:lang w:val="es-ES"/>
        </w:rPr>
      </w:pPr>
    </w:p>
    <w:p>
      <w:pPr>
        <w:pStyle w:val="20"/>
        <w:numPr>
          <w:ilvl w:val="0"/>
          <w:numId w:val="3"/>
        </w:numPr>
        <w:spacing w:after="120"/>
        <w:rPr>
          <w:rFonts w:ascii="Times New Roman" w:cs="Times New Roman" w:hAnsi="Times New Roman"/>
          <w:lang w:val="es-ES"/>
        </w:rPr>
      </w:pPr>
      <w:r>
        <w:rPr>
          <w:rFonts w:ascii="Times New Roman" w:cs="Times New Roman" w:hAnsi="Times New Roman"/>
          <w:sz w:val="20"/>
          <w:lang w:val="es-ES"/>
        </w:rPr>
        <w:t>Responsable: Data Custodian (Administrador TMS/TI) y Data Steward (Supervisor Logístico).</w:t>
      </w:r>
    </w:p>
    <w:p>
      <w:pPr>
        <w:pStyle w:val="20"/>
        <w:spacing w:after="120"/>
        <w:rPr>
          <w:rFonts w:ascii="Times New Roman" w:cs="Times New Roman" w:hAnsi="Times New Roman"/>
          <w:lang w:val="es-ES"/>
        </w:rPr>
      </w:pPr>
    </w:p>
    <w:p>
      <w:pPr>
        <w:pStyle w:val="20"/>
        <w:numPr>
          <w:ilvl w:val="0"/>
          <w:numId w:val="3"/>
        </w:numPr>
        <w:spacing w:after="120"/>
        <w:rPr>
          <w:rFonts w:ascii="Times New Roman" w:cs="Times New Roman" w:hAnsi="Times New Roman"/>
          <w:lang w:val="es-ES"/>
        </w:rPr>
      </w:pPr>
      <w:r>
        <w:rPr>
          <w:rFonts w:ascii="Times New Roman" w:cs="Times New Roman" w:hAnsi="Times New Roman"/>
          <w:sz w:val="20"/>
          <w:lang w:val="es-ES"/>
        </w:rPr>
        <w:t>Declaración: Ninguna guía de transporte podrá ser movida al estado de 'Cerrado' o 'Liquidado' en la base de datos sin haber registrado de manera obligatoria el estatus binario de cumplimiento SLA (1 = Fuera de SLA, 0 = A tiempo). Los registros incompletos o vacíos serán aislados y no ingresarán al dataset analítico.</w:t>
      </w:r>
    </w:p>
    <w:p>
      <w:pPr>
        <w:pStyle w:val="20"/>
        <w:spacing w:after="120"/>
        <w:rPr>
          <w:rFonts w:ascii="Times New Roman" w:cs="Times New Roman" w:hAnsi="Times New Roman"/>
          <w:lang w:val="es-ES"/>
        </w:rPr>
      </w:pPr>
    </w:p>
    <w:p>
      <w:pPr>
        <w:pStyle w:val="20"/>
        <w:numPr>
          <w:ilvl w:val="0"/>
          <w:numId w:val="3"/>
        </w:numPr>
        <w:spacing w:after="120"/>
        <w:rPr>
          <w:rFonts w:ascii="Times New Roman" w:cs="Times New Roman" w:hAnsi="Times New Roman"/>
          <w:lang w:val="es-ES"/>
        </w:rPr>
      </w:pPr>
      <w:r>
        <w:rPr>
          <w:rFonts w:ascii="Times New Roman" w:cs="Times New Roman" w:hAnsi="Times New Roman"/>
          <w:sz w:val="20"/>
          <w:lang w:val="es-ES"/>
        </w:rPr>
        <w:t>Justificación: En el archivo V0 se detectaron 6 registros nulos en la variable objetivo que subestimaban el porcentaje de incumplimiento. Esta política erradica el sesgo en el modelo CART y asegura un cálculo exacto del KPI #1 (42.66%).</w:t>
      </w:r>
    </w:p>
    <w:p>
      <w:pPr>
        <w:pStyle w:val="20"/>
        <w:spacing w:after="120"/>
        <w:rPr>
          <w:rFonts w:ascii="Times New Roman" w:cs="Times New Roman" w:hAnsi="Times New Roman"/>
          <w:lang w:val="es-ES"/>
        </w:rPr>
      </w:pPr>
    </w:p>
    <w:p>
      <w:pPr>
        <w:spacing w:before="200" w:after="80"/>
        <w:rPr>
          <w:rFonts w:ascii="Times New Roman" w:cs="Times New Roman" w:hAnsi="Times New Roman"/>
          <w:lang w:val="es-ES"/>
        </w:rPr>
      </w:pPr>
      <w:r>
        <w:rPr>
          <w:rFonts w:ascii="Times New Roman" w:cs="Times New Roman" w:hAnsi="Times New Roman"/>
          <w:b/>
          <w:lang w:val="es-ES"/>
        </w:rPr>
        <w:t>POL-EST-02 Política de Estandarización y Dominio Categórico</w:t>
      </w:r>
    </w:p>
    <w:p>
      <w:pPr>
        <w:pStyle w:val="20"/>
        <w:numPr>
          <w:ilvl w:val="0"/>
          <w:numId w:val="4"/>
        </w:numPr>
        <w:spacing w:after="120"/>
        <w:rPr>
          <w:rFonts w:ascii="Times New Roman" w:cs="Times New Roman" w:hAnsi="Times New Roman"/>
          <w:lang w:val="es-ES"/>
        </w:rPr>
      </w:pPr>
      <w:r>
        <w:rPr>
          <w:rFonts w:ascii="Times New Roman" w:cs="Times New Roman" w:hAnsi="Times New Roman"/>
          <w:sz w:val="20"/>
          <w:lang w:val="es-ES"/>
        </w:rPr>
        <w:t>Objetivo: Normar las variables categóricas clave mediante catálogos cerrados para impedir errores de tipeo y duplicidad conceptual.</w:t>
      </w:r>
    </w:p>
    <w:p>
      <w:pPr>
        <w:pStyle w:val="20"/>
        <w:numPr>
          <w:ilvl w:val="0"/>
          <w:numId w:val="4"/>
        </w:numPr>
        <w:spacing w:after="120"/>
        <w:rPr>
          <w:rFonts w:ascii="Times New Roman" w:cs="Times New Roman" w:hAnsi="Times New Roman"/>
          <w:lang w:val="es-ES"/>
        </w:rPr>
      </w:pPr>
      <w:r>
        <w:rPr>
          <w:rFonts w:ascii="Times New Roman" w:cs="Times New Roman" w:hAnsi="Times New Roman"/>
          <w:sz w:val="20"/>
          <w:lang w:val="es-ES"/>
        </w:rPr>
        <w:t>Alcance: Aplica a las interfaces de usuario de la App Móvil, sistemas de recepción, comercial y ruteo del TMS.</w:t>
      </w:r>
    </w:p>
    <w:p>
      <w:pPr>
        <w:pStyle w:val="20"/>
        <w:numPr>
          <w:ilvl w:val="0"/>
          <w:numId w:val="4"/>
        </w:numPr>
        <w:spacing w:after="120"/>
        <w:rPr>
          <w:rFonts w:ascii="Times New Roman" w:cs="Times New Roman" w:hAnsi="Times New Roman"/>
          <w:lang w:val="es-ES"/>
        </w:rPr>
      </w:pPr>
      <w:r>
        <w:rPr>
          <w:rFonts w:ascii="Times New Roman" w:cs="Times New Roman" w:hAnsi="Times New Roman"/>
          <w:sz w:val="20"/>
          <w:lang w:val="es-ES"/>
        </w:rPr>
        <w:t>Datos Afectados: franja_entrega, zona_destino, tipo_servicio, tipo_cliente, condicion_clima.</w:t>
      </w:r>
    </w:p>
    <w:p>
      <w:pPr>
        <w:pStyle w:val="20"/>
        <w:spacing w:after="120"/>
        <w:ind w:left="765"/>
        <w:rPr>
          <w:rFonts w:ascii="Times New Roman" w:cs="Times New Roman" w:hAnsi="Times New Roman"/>
          <w:lang w:val="es-ES"/>
        </w:rPr>
      </w:pPr>
    </w:p>
    <w:p>
      <w:pPr>
        <w:pStyle w:val="20"/>
        <w:numPr>
          <w:ilvl w:val="0"/>
          <w:numId w:val="4"/>
        </w:numPr>
        <w:spacing w:after="120"/>
        <w:rPr>
          <w:rFonts w:ascii="Times New Roman" w:cs="Times New Roman" w:hAnsi="Times New Roman"/>
          <w:lang w:val="es-ES"/>
        </w:rPr>
      </w:pPr>
      <w:r>
        <w:rPr>
          <w:rFonts w:ascii="Times New Roman" w:cs="Times New Roman" w:hAnsi="Times New Roman"/>
          <w:sz w:val="20"/>
          <w:lang w:val="es-ES"/>
        </w:rPr>
        <w:t>Responsable: Data Steward (Supervisor Logístico).</w:t>
      </w:r>
    </w:p>
    <w:p>
      <w:pPr>
        <w:pStyle w:val="20"/>
        <w:spacing w:after="120"/>
        <w:ind w:left="765"/>
        <w:rPr>
          <w:rFonts w:ascii="Times New Roman" w:cs="Times New Roman" w:hAnsi="Times New Roman"/>
          <w:lang w:val="es-ES"/>
        </w:rPr>
      </w:pPr>
    </w:p>
    <w:p>
      <w:pPr>
        <w:pStyle w:val="20"/>
        <w:numPr>
          <w:ilvl w:val="0"/>
          <w:numId w:val="4"/>
        </w:numPr>
        <w:spacing w:after="120"/>
        <w:rPr>
          <w:rFonts w:ascii="Times New Roman" w:cs="Times New Roman" w:hAnsi="Times New Roman"/>
          <w:lang w:val="es-ES"/>
        </w:rPr>
      </w:pPr>
      <w:r>
        <w:rPr>
          <w:rFonts w:ascii="Times New Roman" w:cs="Times New Roman" w:hAnsi="Times New Roman"/>
          <w:sz w:val="20"/>
          <w:lang w:val="es-ES"/>
        </w:rPr>
        <w:t>Declaración: Todos los campos categóricos deberán registrarse exclusivamente mediante selecciones de listas desplegables conectadas al catálogo maestro del diccionario de datos. Se prohíbe la entrada de texto libre en campos de categorización operativa.</w:t>
      </w:r>
    </w:p>
    <w:p>
      <w:pPr>
        <w:pStyle w:val="20"/>
        <w:spacing w:after="120"/>
        <w:ind w:left="765"/>
        <w:rPr>
          <w:rFonts w:ascii="Times New Roman" w:cs="Times New Roman" w:hAnsi="Times New Roman"/>
          <w:lang w:val="es-ES"/>
        </w:rPr>
      </w:pPr>
    </w:p>
    <w:p>
      <w:pPr>
        <w:pStyle w:val="20"/>
        <w:numPr>
          <w:ilvl w:val="0"/>
          <w:numId w:val="4"/>
        </w:numPr>
        <w:spacing w:after="120"/>
        <w:rPr>
          <w:rFonts w:ascii="Times New Roman" w:cs="Times New Roman" w:hAnsi="Times New Roman"/>
          <w:lang w:val="es-ES"/>
        </w:rPr>
      </w:pPr>
      <w:r>
        <w:rPr>
          <w:rFonts w:ascii="Times New Roman" w:cs="Times New Roman" w:hAnsi="Times New Roman"/>
          <w:sz w:val="20"/>
          <w:lang w:val="es-ES"/>
        </w:rPr>
        <w:t>Justificación: El archivo V0 presentó errores como 'NOCTURNA' en mayúsculas (2 registros) conviviendo con 'Nocturna' (99 registros), generando falso agrupamiento. Esta política unifica la franja en 101 registros e impide ramificaciones redundantes en el árbol CART.</w:t>
      </w:r>
    </w:p>
    <w:p>
      <w:pPr>
        <w:spacing w:before="200" w:after="80"/>
        <w:rPr>
          <w:rFonts w:ascii="Times New Roman" w:cs="Times New Roman" w:hAnsi="Times New Roman"/>
          <w:lang w:val="es-ES"/>
        </w:rPr>
      </w:pPr>
      <w:r>
        <w:rPr>
          <w:rFonts w:ascii="Times New Roman" w:cs="Times New Roman" w:hAnsi="Times New Roman"/>
          <w:b/>
          <w:lang w:val="es-ES"/>
        </w:rPr>
        <w:t>POL-OPO-03 Política de Oportunidad y Sincronización de Datos</w:t>
      </w:r>
    </w:p>
    <w:p>
      <w:pPr>
        <w:pStyle w:val="20"/>
        <w:numPr>
          <w:ilvl w:val="0"/>
          <w:numId w:val="5"/>
        </w:numPr>
        <w:spacing w:after="120"/>
        <w:rPr>
          <w:rFonts w:ascii="Times New Roman" w:cs="Times New Roman" w:hAnsi="Times New Roman"/>
          <w:lang w:val="es-ES"/>
        </w:rPr>
      </w:pPr>
      <w:r>
        <w:rPr>
          <w:rFonts w:ascii="Times New Roman" w:cs="Times New Roman" w:hAnsi="Times New Roman"/>
          <w:sz w:val="20"/>
          <w:lang w:val="es-ES"/>
        </w:rPr>
        <w:t>Objetivo: Establecer la ventana máxima de latencia permitida entre la recolección física del envío y su disponibilidad en el repositorio analítico.</w:t>
      </w:r>
    </w:p>
    <w:p>
      <w:pPr>
        <w:pStyle w:val="20"/>
        <w:spacing w:after="120"/>
        <w:rPr>
          <w:rFonts w:ascii="Times New Roman" w:cs="Times New Roman" w:hAnsi="Times New Roman"/>
          <w:lang w:val="es-ES"/>
        </w:rPr>
      </w:pPr>
    </w:p>
    <w:p>
      <w:pPr>
        <w:pStyle w:val="20"/>
        <w:numPr>
          <w:ilvl w:val="0"/>
          <w:numId w:val="5"/>
        </w:numPr>
        <w:spacing w:after="120"/>
        <w:rPr>
          <w:rFonts w:ascii="Times New Roman" w:cs="Times New Roman" w:hAnsi="Times New Roman"/>
          <w:lang w:val="es-ES"/>
        </w:rPr>
      </w:pPr>
      <w:r>
        <w:rPr>
          <w:rFonts w:ascii="Times New Roman" w:cs="Times New Roman" w:hAnsi="Times New Roman"/>
          <w:sz w:val="20"/>
          <w:lang w:val="es-ES"/>
        </w:rPr>
        <w:t>Alcance: Procesos de carga masiva de datos, sincronización de la App Móvil, API de integraciones y ejecuciones ETL.</w:t>
      </w:r>
    </w:p>
    <w:p>
      <w:pPr>
        <w:pStyle w:val="20"/>
        <w:spacing w:after="120"/>
        <w:rPr>
          <w:rFonts w:ascii="Times New Roman" w:cs="Times New Roman" w:hAnsi="Times New Roman"/>
          <w:lang w:val="es-ES"/>
        </w:rPr>
      </w:pPr>
    </w:p>
    <w:p>
      <w:pPr>
        <w:pStyle w:val="20"/>
        <w:numPr>
          <w:ilvl w:val="0"/>
          <w:numId w:val="5"/>
        </w:numPr>
        <w:spacing w:after="120"/>
        <w:rPr>
          <w:rFonts w:ascii="Times New Roman" w:cs="Times New Roman" w:hAnsi="Times New Roman"/>
          <w:lang w:val="es-ES"/>
        </w:rPr>
      </w:pPr>
      <w:r>
        <w:rPr>
          <w:rFonts w:ascii="Times New Roman" w:cs="Times New Roman" w:hAnsi="Times New Roman"/>
          <w:sz w:val="20"/>
          <w:lang w:val="es-ES"/>
        </w:rPr>
        <w:t>Datos Afectados: fecha_carga, fecha_recoleccion, sistema_origen, demora_carga_dias.</w:t>
      </w:r>
    </w:p>
    <w:p>
      <w:pPr>
        <w:pStyle w:val="20"/>
        <w:spacing w:after="120"/>
        <w:rPr>
          <w:rFonts w:ascii="Times New Roman" w:cs="Times New Roman" w:hAnsi="Times New Roman"/>
          <w:lang w:val="es-ES"/>
        </w:rPr>
      </w:pPr>
    </w:p>
    <w:p>
      <w:pPr>
        <w:pStyle w:val="20"/>
        <w:numPr>
          <w:ilvl w:val="0"/>
          <w:numId w:val="5"/>
        </w:numPr>
        <w:spacing w:after="120"/>
        <w:rPr>
          <w:rFonts w:ascii="Times New Roman" w:cs="Times New Roman" w:hAnsi="Times New Roman"/>
          <w:lang w:val="es-ES"/>
        </w:rPr>
      </w:pPr>
      <w:r>
        <w:rPr>
          <w:rFonts w:ascii="Times New Roman" w:cs="Times New Roman" w:hAnsi="Times New Roman"/>
          <w:sz w:val="20"/>
          <w:lang w:val="es-ES"/>
        </w:rPr>
        <w:t>Responsable: Data Custodian (Administrador TMS/TI).</w:t>
      </w:r>
    </w:p>
    <w:p>
      <w:pPr>
        <w:pStyle w:val="20"/>
        <w:spacing w:after="120"/>
        <w:rPr>
          <w:rFonts w:ascii="Times New Roman" w:cs="Times New Roman" w:hAnsi="Times New Roman"/>
          <w:lang w:val="es-ES"/>
        </w:rPr>
      </w:pPr>
    </w:p>
    <w:p>
      <w:pPr>
        <w:pStyle w:val="20"/>
        <w:numPr>
          <w:ilvl w:val="0"/>
          <w:numId w:val="5"/>
        </w:numPr>
        <w:spacing w:after="120"/>
        <w:rPr>
          <w:rFonts w:ascii="Times New Roman" w:cs="Times New Roman" w:hAnsi="Times New Roman"/>
          <w:lang w:val="es-ES"/>
        </w:rPr>
      </w:pPr>
      <w:r>
        <w:rPr>
          <w:rFonts w:ascii="Times New Roman" w:cs="Times New Roman" w:hAnsi="Times New Roman"/>
          <w:sz w:val="20"/>
          <w:lang w:val="es-ES"/>
        </w:rPr>
        <w:t>Declaración: Toda ruta de reparto finalizada debe liquidarse digitalmente en la terminal dentro de un plazo máximo de 24 horas posteriores al evento. El desfase medido por la variable calculada demora_carga_dias no debe exceder de 1 día.</w:t>
      </w:r>
    </w:p>
    <w:p>
      <w:pPr>
        <w:pStyle w:val="20"/>
        <w:rPr>
          <w:rFonts w:ascii="Times New Roman" w:cs="Times New Roman" w:hAnsi="Times New Roman"/>
          <w:lang w:val="es-ES"/>
        </w:rPr>
      </w:pPr>
    </w:p>
    <w:p>
      <w:pPr>
        <w:pStyle w:val="20"/>
        <w:spacing w:after="120"/>
        <w:rPr>
          <w:rFonts w:ascii="Times New Roman" w:cs="Times New Roman" w:hAnsi="Times New Roman"/>
          <w:lang w:val="es-ES"/>
        </w:rPr>
      </w:pPr>
    </w:p>
    <w:p>
      <w:pPr>
        <w:pStyle w:val="20"/>
        <w:numPr>
          <w:ilvl w:val="0"/>
          <w:numId w:val="5"/>
        </w:numPr>
        <w:spacing w:after="120"/>
        <w:rPr>
          <w:rFonts w:ascii="Times New Roman" w:cs="Times New Roman" w:hAnsi="Times New Roman"/>
          <w:lang w:val="es-ES"/>
        </w:rPr>
      </w:pPr>
      <w:r>
        <w:rPr>
          <w:rFonts w:ascii="Times New Roman" w:cs="Times New Roman" w:hAnsi="Times New Roman"/>
          <w:sz w:val="20"/>
          <w:lang w:val="es-ES"/>
        </w:rPr>
        <w:t>Justificación: Se identificaron retrasos severos de carga en el dataset V0 con un promedio de 1.63 días y un máximo crítico de 26 días de retraso, impidiendo el monitoreo oportuno de las fallas operativas.</w:t>
      </w:r>
    </w:p>
    <w:p>
      <w:pPr>
        <w:pStyle w:val="20"/>
        <w:spacing w:after="120"/>
        <w:rPr>
          <w:rFonts w:ascii="Times New Roman" w:cs="Times New Roman" w:hAnsi="Times New Roman"/>
          <w:lang w:val="es-ES"/>
        </w:rPr>
      </w:pPr>
    </w:p>
    <w:p>
      <w:pPr>
        <w:spacing w:before="200" w:after="80"/>
        <w:rPr>
          <w:rFonts w:ascii="Times New Roman" w:cs="Times New Roman" w:hAnsi="Times New Roman"/>
          <w:lang w:val="es-ES"/>
        </w:rPr>
      </w:pPr>
      <w:r>
        <w:rPr>
          <w:rFonts w:ascii="Times New Roman" w:cs="Times New Roman" w:hAnsi="Times New Roman"/>
          <w:b/>
          <w:lang w:val="es-ES"/>
        </w:rPr>
        <w:t>POL-SEC-04 Política de Seguridad, Privacidad y Consentimiento de Geolocalización</w:t>
      </w:r>
    </w:p>
    <w:p>
      <w:pPr>
        <w:pStyle w:val="20"/>
        <w:numPr>
          <w:ilvl w:val="0"/>
          <w:numId w:val="6"/>
        </w:numPr>
        <w:spacing w:after="120"/>
        <w:rPr>
          <w:rFonts w:ascii="Times New Roman" w:cs="Times New Roman" w:hAnsi="Times New Roman"/>
          <w:lang w:val="es-ES"/>
        </w:rPr>
      </w:pPr>
      <w:r>
        <w:rPr>
          <w:rFonts w:ascii="Times New Roman" w:cs="Times New Roman" w:hAnsi="Times New Roman"/>
          <w:sz w:val="20"/>
          <w:lang w:val="es-ES"/>
        </w:rPr>
        <w:t>Objetivo: Asegurar el cumplimiento normativo y ético sobre el tratamiento de datos sensibles de rastreo espacial y geolocalización.</w:t>
      </w:r>
    </w:p>
    <w:p>
      <w:pPr>
        <w:pStyle w:val="20"/>
        <w:spacing w:after="120"/>
        <w:rPr>
          <w:rFonts w:ascii="Times New Roman" w:cs="Times New Roman" w:hAnsi="Times New Roman"/>
          <w:lang w:val="es-ES"/>
        </w:rPr>
      </w:pPr>
    </w:p>
    <w:p>
      <w:pPr>
        <w:pStyle w:val="20"/>
        <w:numPr>
          <w:ilvl w:val="0"/>
          <w:numId w:val="6"/>
        </w:numPr>
        <w:spacing w:after="120"/>
        <w:rPr>
          <w:rFonts w:ascii="Times New Roman" w:cs="Times New Roman" w:hAnsi="Times New Roman"/>
          <w:lang w:val="es-ES"/>
        </w:rPr>
      </w:pPr>
      <w:r>
        <w:rPr>
          <w:rFonts w:ascii="Times New Roman" w:cs="Times New Roman" w:hAnsi="Times New Roman"/>
          <w:sz w:val="20"/>
          <w:lang w:val="es-ES"/>
        </w:rPr>
        <w:t>Alcance: Módulos GPS de la App Repartidor, base de datos de rastreo espacial y consumo de coordenadas para minería de datos.</w:t>
      </w:r>
    </w:p>
    <w:p>
      <w:pPr>
        <w:pStyle w:val="20"/>
        <w:spacing w:after="120"/>
        <w:rPr>
          <w:rFonts w:ascii="Times New Roman" w:cs="Times New Roman" w:hAnsi="Times New Roman"/>
          <w:lang w:val="es-ES"/>
        </w:rPr>
      </w:pPr>
    </w:p>
    <w:p>
      <w:pPr>
        <w:pStyle w:val="20"/>
        <w:numPr>
          <w:ilvl w:val="0"/>
          <w:numId w:val="6"/>
        </w:numPr>
        <w:spacing w:after="120"/>
        <w:rPr>
          <w:rFonts w:ascii="Times New Roman" w:cs="Times New Roman" w:hAnsi="Times New Roman"/>
          <w:lang w:val="es-ES"/>
        </w:rPr>
      </w:pPr>
      <w:r>
        <w:rPr>
          <w:rFonts w:ascii="Times New Roman" w:cs="Times New Roman" w:hAnsi="Times New Roman"/>
          <w:sz w:val="20"/>
          <w:lang w:val="es-ES"/>
        </w:rPr>
        <w:t>Datos Afectados: geolocalizacion_autorizada, coordenadas GPS, id_guia.</w:t>
      </w:r>
    </w:p>
    <w:p>
      <w:pPr>
        <w:pStyle w:val="20"/>
        <w:spacing w:after="120"/>
        <w:rPr>
          <w:rFonts w:ascii="Times New Roman" w:cs="Times New Roman" w:hAnsi="Times New Roman"/>
          <w:lang w:val="es-ES"/>
        </w:rPr>
      </w:pPr>
    </w:p>
    <w:p>
      <w:pPr>
        <w:pStyle w:val="20"/>
        <w:numPr>
          <w:ilvl w:val="0"/>
          <w:numId w:val="6"/>
        </w:numPr>
        <w:spacing w:after="120"/>
        <w:rPr>
          <w:rFonts w:ascii="Times New Roman" w:cs="Times New Roman" w:hAnsi="Times New Roman"/>
          <w:lang w:val="es-ES"/>
        </w:rPr>
      </w:pPr>
      <w:r>
        <w:rPr>
          <w:rFonts w:ascii="Times New Roman" w:cs="Times New Roman" w:hAnsi="Times New Roman"/>
          <w:sz w:val="20"/>
          <w:lang w:val="es-ES"/>
        </w:rPr>
        <w:t>Responsable: Data Owner (Coordinador Logístico de la Zona Pacífico).</w:t>
      </w:r>
    </w:p>
    <w:p>
      <w:pPr>
        <w:pStyle w:val="20"/>
        <w:spacing w:after="120"/>
        <w:rPr>
          <w:rFonts w:ascii="Times New Roman" w:cs="Times New Roman" w:hAnsi="Times New Roman"/>
          <w:lang w:val="es-ES"/>
        </w:rPr>
      </w:pPr>
    </w:p>
    <w:p>
      <w:pPr>
        <w:pStyle w:val="20"/>
        <w:numPr>
          <w:ilvl w:val="0"/>
          <w:numId w:val="6"/>
        </w:numPr>
        <w:spacing w:after="120"/>
        <w:rPr>
          <w:rFonts w:ascii="Times New Roman" w:cs="Times New Roman" w:hAnsi="Times New Roman"/>
          <w:lang w:val="es-ES"/>
        </w:rPr>
      </w:pPr>
      <w:r>
        <w:rPr>
          <w:rFonts w:ascii="Times New Roman" w:cs="Times New Roman" w:hAnsi="Times New Roman"/>
          <w:sz w:val="20"/>
          <w:lang w:val="es-ES"/>
        </w:rPr>
        <w:t>Declaración: El procesamiento analítico de coordenadas espacial sólo se ejecutará sobre registros que posean la bandera 'Autorizada'. Todo dato de geolocalización sin consentimiento explícito ('No autorizada') será excluido de análisis espaciales públicos y anonimizado.</w:t>
      </w:r>
    </w:p>
    <w:p>
      <w:pPr>
        <w:pStyle w:val="20"/>
        <w:spacing w:after="120"/>
        <w:rPr>
          <w:rFonts w:ascii="Times New Roman" w:cs="Times New Roman" w:hAnsi="Times New Roman"/>
          <w:lang w:val="es-ES"/>
        </w:rPr>
      </w:pPr>
    </w:p>
    <w:p>
      <w:pPr>
        <w:pStyle w:val="20"/>
        <w:numPr>
          <w:ilvl w:val="0"/>
          <w:numId w:val="6"/>
        </w:numPr>
        <w:spacing w:after="120"/>
        <w:rPr>
          <w:rFonts w:ascii="Times New Roman" w:cs="Times New Roman" w:hAnsi="Times New Roman"/>
          <w:lang w:val="es-ES"/>
        </w:rPr>
      </w:pPr>
      <w:r>
        <w:rPr>
          <w:rFonts w:ascii="Times New Roman" w:cs="Times New Roman" w:hAnsi="Times New Roman"/>
          <w:sz w:val="20"/>
          <w:lang w:val="es-ES"/>
        </w:rPr>
        <w:t>Justificación: El dataset V0 registró 47 casillas 'No autorizada' y 3 nulos en geolocalización. La política previene sanciones legales por violación de privacidad y asegura un tratamiento ético de los datos.</w:t>
      </w:r>
    </w:p>
    <w:p>
      <w:pPr>
        <w:pStyle w:val="20"/>
        <w:rPr>
          <w:rFonts w:ascii="Times New Roman" w:cs="Times New Roman" w:hAnsi="Times New Roman"/>
          <w:lang w:val="es-ES"/>
        </w:rPr>
      </w:pPr>
    </w:p>
    <w:p>
      <w:pPr>
        <w:pStyle w:val="20"/>
        <w:spacing w:after="120"/>
        <w:rPr>
          <w:rFonts w:ascii="Times New Roman" w:cs="Times New Roman" w:hAnsi="Times New Roman"/>
          <w:lang w:val="es-ES"/>
        </w:rPr>
      </w:pPr>
    </w:p>
    <w:p>
      <w:pPr>
        <w:pStyle w:val="20"/>
        <w:numPr>
          <w:ilvl w:val="0"/>
          <w:numId w:val="1"/>
        </w:numPr>
        <w:spacing w:before="280" w:after="120"/>
        <w:rPr>
          <w:rFonts w:ascii="Times New Roman" w:cs="Times New Roman" w:hAnsi="Times New Roman"/>
          <w:lang w:val="es-ES"/>
        </w:rPr>
      </w:pPr>
      <w:r>
        <w:rPr>
          <w:rFonts w:ascii="Times New Roman" w:cs="Times New Roman" w:hAnsi="Times New Roman"/>
          <w:b/>
          <w:sz w:val="24"/>
          <w:lang w:val="es-ES"/>
        </w:rPr>
        <w:t>Reglas de Gobierno de Datos</w:t>
      </w:r>
    </w:p>
    <w:p>
      <w:pPr>
        <w:spacing w:after="120"/>
        <w:rPr>
          <w:rFonts w:ascii="Times New Roman" w:cs="Times New Roman" w:hAnsi="Times New Roman"/>
          <w:lang w:val="es-ES"/>
        </w:rPr>
      </w:pPr>
      <w:r>
        <w:rPr>
          <w:rFonts w:ascii="Times New Roman" w:cs="Times New Roman" w:hAnsi="Times New Roman"/>
          <w:sz w:val="20"/>
          <w:lang w:val="es-ES"/>
        </w:rPr>
        <w:t>Las políticas de gobierno se traducen en las siguientes reglas operativas concretas de negocio:</w:t>
      </w:r>
    </w:p>
    <w:p>
      <w:pPr>
        <w:spacing w:after="120"/>
        <w:rPr>
          <w:rFonts w:ascii="Times New Roman" w:cs="Times New Roman" w:hAnsi="Times New Roman"/>
          <w:lang w:val="es-ES"/>
        </w:rPr>
      </w:pPr>
      <w:r>
        <w:rPr>
          <w:rFonts w:ascii="Times New Roman" w:cs="Times New Roman" w:hAnsi="Times New Roman"/>
          <w:sz w:val="20"/>
          <w:lang w:val="es-ES"/>
        </w:rPr>
        <w:t>1. Política POL-CAL-01 (Completitud) → Regla R-CAL-01: Todo registro de guía de transporte en la tabla transaccional debe poseer obligatoriamente un valor entero binario {0, 1} en el campo entrega_fuera_sla antes de la conciliación diaria de turno. Se prohíben valores vacíos o nulos.</w:t>
      </w:r>
    </w:p>
    <w:p>
      <w:pPr>
        <w:spacing w:after="120"/>
        <w:rPr>
          <w:rFonts w:ascii="Times New Roman" w:cs="Times New Roman" w:hAnsi="Times New Roman"/>
          <w:lang w:val="es-ES"/>
        </w:rPr>
      </w:pPr>
      <w:r>
        <w:rPr>
          <w:rFonts w:ascii="Times New Roman" w:cs="Times New Roman" w:hAnsi="Times New Roman"/>
          <w:sz w:val="20"/>
          <w:lang w:val="es-ES"/>
        </w:rPr>
        <w:t>2. Política POL-EST-02 (Estandarización) → Regla R-EST-02: El campo franja_entrega únicamente aceptará cadenas de texto que pertenezcan al conjunto cerrado oficial: {'AM', 'PM', 'Nocturna', 'Sin franja'}. Cualquier cadena con diferente uso de mayúsculas (ej. 'NOCTURNA') o valor fuera de catálogo debe ser rechazada e inscrita en el registro de inconsistencias.</w:t>
      </w:r>
    </w:p>
    <w:p>
      <w:pPr>
        <w:spacing w:after="120"/>
        <w:rPr>
          <w:rFonts w:ascii="Times New Roman" w:cs="Times New Roman" w:hAnsi="Times New Roman"/>
          <w:lang w:val="es-ES"/>
        </w:rPr>
      </w:pPr>
      <w:r>
        <w:rPr>
          <w:rFonts w:ascii="Times New Roman" w:cs="Times New Roman" w:hAnsi="Times New Roman"/>
          <w:sz w:val="20"/>
          <w:lang w:val="es-ES"/>
        </w:rPr>
        <w:t>3. Política POL-OPO-03 (Oportunidad) → Regla R-OPO-03: La diferencia de días calculada entre la fecha de carga al sistema analítico y la fecha de recolección física debe cumplir la restricción: demora_carga_dias = (fecha_carga - fecha_recoleccion) &lt;= 1 día.</w:t>
      </w:r>
    </w:p>
    <w:p>
      <w:pPr>
        <w:spacing w:after="120"/>
        <w:rPr>
          <w:rFonts w:ascii="Times New Roman" w:cs="Times New Roman" w:hAnsi="Times New Roman"/>
          <w:lang w:val="es-ES"/>
        </w:rPr>
      </w:pPr>
      <w:r>
        <w:rPr>
          <w:rFonts w:ascii="Times New Roman" w:cs="Times New Roman" w:hAnsi="Times New Roman"/>
          <w:sz w:val="20"/>
          <w:lang w:val="es-ES"/>
        </w:rPr>
        <w:t>4. Política POL-SEC-04 (Seguridad y Privacidad) → Regla R-SEC-04: La variable geolocalizacion_autorizada solo aceptará los valores 'Autorizada' o 'No autorizada'. Los registros con valor 'No autorizada' deben ser filtrados automáticamente en las consultas de Minería de Datos espaciales.</w:t>
      </w:r>
    </w:p>
    <w:p>
      <w:pPr>
        <w:pStyle w:val="20"/>
        <w:numPr>
          <w:ilvl w:val="0"/>
          <w:numId w:val="1"/>
        </w:numPr>
        <w:spacing w:before="280" w:after="120"/>
        <w:rPr>
          <w:rFonts w:ascii="Times New Roman" w:cs="Times New Roman" w:hAnsi="Times New Roman"/>
          <w:lang w:val="es-ES"/>
        </w:rPr>
      </w:pPr>
      <w:r>
        <w:rPr>
          <w:rFonts w:ascii="Times New Roman" w:cs="Times New Roman" w:hAnsi="Times New Roman"/>
          <w:b/>
          <w:sz w:val="24"/>
          <w:lang w:val="es-ES"/>
        </w:rPr>
        <w:t>Controles y Guardrails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120"/>
        <w:gridCol w:w="3120"/>
        <w:gridCol w:w="3120"/>
      </w:tblGrid>
      <w:tr>
        <w:tc>
          <w:tcPr>
            <w:tcW w:w="312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7"/>
              </w:rPr>
              <w:t>Regla Asociada</w:t>
            </w:r>
          </w:p>
        </w:tc>
        <w:tc>
          <w:tcPr>
            <w:tcW w:w="312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7"/>
              </w:rPr>
              <w:t>Control / Guardrail Diseñado</w:t>
            </w:r>
          </w:p>
        </w:tc>
        <w:tc>
          <w:tcPr>
            <w:tcW w:w="312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7"/>
              </w:rPr>
              <w:t>Evidencia Generada</w:t>
            </w:r>
          </w:p>
        </w:tc>
      </w:tr>
      <w:tr>
        <w:tc>
          <w:tcPr>
            <w:tcW w:w="3120" w:type="dxa"/>
            <w:shd w:val="clear" w:color="auto" w:fill="F7FAFC"/>
            <w:tcMar>
              <w:top w:w="100" w:type="dxa"/>
              <w:left w:w="150" w:type="dxa"/>
              <w:bottom w:w="100" w:type="dxa"/>
              <w:right w:w="150" w:type="dxa"/>
            </w:tcMar>
          </w:tcPr>
          <w:p>
            <w:pPr>
              <w:rPr>
                <w:rFonts w:ascii="Times New Roman" w:cs="Times New Roman" w:hAnsi="Times New Roman"/>
                <w:sz w:val="16"/>
                <w:szCs w:val="16"/>
              </w:rPr>
            </w:pPr>
            <w:r>
              <w:rPr>
                <w:rFonts w:ascii="Times New Roman" w:cs="Times New Roman" w:hAnsi="Times New Roman"/>
                <w:sz w:val="16"/>
                <w:szCs w:val="16"/>
              </w:rPr>
              <w:t>R-CAL-01 (SLA Obligatorio)</w:t>
            </w:r>
          </w:p>
        </w:tc>
        <w:tc>
          <w:tcPr>
            <w:tcW w:w="3120" w:type="dxa"/>
            <w:shd w:val="clear" w:color="auto" w:fill="F7FAFC"/>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Script de validación en App Móvil con restricción NOT NULL que bloquea el botón 'Cerrar Ruta' si entrega_fuera_sla está vacío.</w:t>
            </w:r>
          </w:p>
        </w:tc>
        <w:tc>
          <w:tcPr>
            <w:tcW w:w="3120" w:type="dxa"/>
            <w:shd w:val="clear" w:color="auto" w:fill="F7FAFC"/>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Reporte semanal de errores de cierre e intentos de guardado bloqueados.</w:t>
            </w:r>
          </w:p>
        </w:tc>
      </w:tr>
      <w:tr>
        <w:tc>
          <w:tcPr>
            <w:tcW w:w="3120" w:type="dxa"/>
            <w:shd w:val="clear" w:color="auto" w:fill="FFFFFF"/>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R-EST-02 (Franja Horaria Válida)</w:t>
            </w:r>
          </w:p>
        </w:tc>
        <w:tc>
          <w:tcPr>
            <w:tcW w:w="3120" w:type="dxa"/>
            <w:shd w:val="clear" w:color="auto" w:fill="FFFFFF"/>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Reemplazo de cuadro de texto libre por selector desplegable obligatorio (Dropdown List) vinculado a la tabla Maestra en App y TMS.</w:t>
            </w:r>
          </w:p>
        </w:tc>
        <w:tc>
          <w:tcPr>
            <w:tcW w:w="3120" w:type="dxa"/>
            <w:shd w:val="clear" w:color="auto" w:fill="FFFFFF"/>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Tabla de auditoría de intentos de inserción con cero incidencias categóricas.</w:t>
            </w:r>
          </w:p>
        </w:tc>
      </w:tr>
      <w:tr>
        <w:tc>
          <w:tcPr>
            <w:tcW w:w="3120" w:type="dxa"/>
            <w:shd w:val="clear" w:color="auto" w:fill="F7FAFC"/>
            <w:tcMar>
              <w:top w:w="100" w:type="dxa"/>
              <w:left w:w="150" w:type="dxa"/>
              <w:bottom w:w="100" w:type="dxa"/>
              <w:right w:w="150" w:type="dxa"/>
            </w:tcMar>
          </w:tcPr>
          <w:p>
            <w:pPr>
              <w:rPr>
                <w:rFonts w:ascii="Times New Roman" w:cs="Times New Roman" w:hAnsi="Times New Roman"/>
                <w:sz w:val="16"/>
                <w:szCs w:val="16"/>
              </w:rPr>
            </w:pPr>
            <w:r>
              <w:rPr>
                <w:rFonts w:ascii="Times New Roman" w:cs="Times New Roman" w:hAnsi="Times New Roman"/>
                <w:sz w:val="16"/>
                <w:szCs w:val="16"/>
              </w:rPr>
              <w:t>R-OPO-03 (Sincronización Oportuna)</w:t>
            </w:r>
          </w:p>
        </w:tc>
        <w:tc>
          <w:tcPr>
            <w:tcW w:w="3120" w:type="dxa"/>
            <w:shd w:val="clear" w:color="auto" w:fill="F7FAFC"/>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Alerta automática en el tablero del Data Steward si demora_carga_dias &gt; 1 día al momento del barrido de la API ETL.</w:t>
            </w:r>
          </w:p>
        </w:tc>
        <w:tc>
          <w:tcPr>
            <w:tcW w:w="3120" w:type="dxa"/>
            <w:shd w:val="clear" w:color="auto" w:fill="F7FAFC"/>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Log de alertas de retraso de carga y dashboard de latencia de ingesta.</w:t>
            </w:r>
          </w:p>
        </w:tc>
      </w:tr>
      <w:tr>
        <w:tc>
          <w:tcPr>
            <w:tcW w:w="3120" w:type="dxa"/>
            <w:shd w:val="clear" w:color="auto" w:fill="FFFFFF"/>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R-SEC-04 (Consentimiento GPS y RBAC)</w:t>
            </w:r>
          </w:p>
        </w:tc>
        <w:tc>
          <w:tcPr>
            <w:tcW w:w="3120" w:type="dxa"/>
            <w:shd w:val="clear" w:color="auto" w:fill="FFFFFF"/>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Filtro automatizado en la vista SQL analítica (WHERE geolocalizacion_autorizada = 'Autorizada') y control de accesos RBAC.</w:t>
            </w:r>
          </w:p>
        </w:tc>
        <w:tc>
          <w:tcPr>
            <w:tcW w:w="3120" w:type="dxa"/>
            <w:shd w:val="clear" w:color="auto" w:fill="FFFFFF"/>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Registro de accesos (Access Logs) y dataset filtrado con 354 registros autorizados.</w:t>
            </w:r>
          </w:p>
        </w:tc>
      </w:tr>
    </w:tbl>
    <w:p>
      <w:pPr>
        <w:pStyle w:val="20"/>
        <w:numPr>
          <w:ilvl w:val="0"/>
          <w:numId w:val="1"/>
        </w:numPr>
        <w:spacing w:before="280" w:after="120"/>
        <w:rPr>
          <w:rFonts w:ascii="Times New Roman" w:cs="Times New Roman" w:hAnsi="Times New Roman"/>
          <w:lang w:val="es-ES"/>
        </w:rPr>
      </w:pPr>
      <w:r>
        <w:rPr>
          <w:rFonts w:ascii="Times New Roman" w:cs="Times New Roman" w:hAnsi="Times New Roman"/>
          <w:b/>
          <w:sz w:val="24"/>
          <w:lang w:val="es-ES"/>
        </w:rPr>
        <w:t>Diccionario de Datos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80"/>
        <w:gridCol w:w="966"/>
        <w:gridCol w:w="738"/>
        <w:gridCol w:w="822"/>
        <w:gridCol w:w="728"/>
        <w:gridCol w:w="850"/>
        <w:gridCol w:w="910"/>
        <w:gridCol w:w="936"/>
        <w:gridCol w:w="853"/>
        <w:gridCol w:w="895"/>
        <w:gridCol w:w="782"/>
      </w:tblGrid>
      <w:tr>
        <w:tc>
          <w:tcPr>
            <w:tcW w:w="1281"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5"/>
              </w:rPr>
              <w:t>Variable / Nombre</w:t>
            </w:r>
          </w:p>
        </w:tc>
        <w:tc>
          <w:tcPr>
            <w:tcW w:w="982"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5"/>
              </w:rPr>
              <w:t>Descripción (Original V0)</w:t>
            </w:r>
          </w:p>
        </w:tc>
        <w:tc>
          <w:tcPr>
            <w:tcW w:w="689"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5"/>
              </w:rPr>
              <w:t>Tipo</w:t>
            </w:r>
          </w:p>
        </w:tc>
        <w:tc>
          <w:tcPr>
            <w:tcW w:w="797"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5"/>
              </w:rPr>
              <w:t>Formato</w:t>
            </w:r>
          </w:p>
        </w:tc>
        <w:tc>
          <w:tcPr>
            <w:tcW w:w="678"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5"/>
              </w:rPr>
              <w:t>Fuente</w:t>
            </w:r>
          </w:p>
        </w:tc>
        <w:tc>
          <w:tcPr>
            <w:tcW w:w="852"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5"/>
              </w:rPr>
              <w:t>Responsable</w:t>
            </w:r>
          </w:p>
        </w:tc>
        <w:tc>
          <w:tcPr>
            <w:tcW w:w="972"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5"/>
              </w:rPr>
              <w:t>Obligatoriedad</w:t>
            </w:r>
          </w:p>
        </w:tc>
        <w:tc>
          <w:tcPr>
            <w:tcW w:w="952"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5"/>
              </w:rPr>
              <w:t>Dominio / Valores Permitidos</w:t>
            </w:r>
          </w:p>
        </w:tc>
        <w:tc>
          <w:tcPr>
            <w:tcW w:w="868"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5"/>
              </w:rPr>
              <w:t>Clasificación</w:t>
            </w:r>
          </w:p>
        </w:tc>
        <w:tc>
          <w:tcPr>
            <w:tcW w:w="887"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5"/>
              </w:rPr>
              <w:t>Uso Analítico (V0/CART)</w:t>
            </w:r>
          </w:p>
        </w:tc>
        <w:tc>
          <w:tcPr>
            <w:tcW w:w="702"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5"/>
              </w:rPr>
              <w:t>Política Asociada</w:t>
            </w:r>
          </w:p>
        </w:tc>
      </w:tr>
      <w:tr>
        <w:tc>
          <w:tcPr>
            <w:tcW w:w="1281"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id_guia</w:t>
            </w:r>
          </w:p>
        </w:tc>
        <w:tc>
          <w:tcPr>
            <w:tcW w:w="98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Identificador seudonimizado del registro</w:t>
            </w:r>
          </w:p>
        </w:tc>
        <w:tc>
          <w:tcPr>
            <w:tcW w:w="689"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Texto</w:t>
            </w:r>
          </w:p>
        </w:tc>
        <w:tc>
          <w:tcPr>
            <w:tcW w:w="797"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Alfanumérico</w:t>
            </w:r>
          </w:p>
        </w:tc>
        <w:tc>
          <w:tcPr>
            <w:tcW w:w="678"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TMS Pedidos</w:t>
            </w:r>
          </w:p>
        </w:tc>
        <w:tc>
          <w:tcPr>
            <w:tcW w:w="85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Data Custodian (TI)</w:t>
            </w:r>
          </w:p>
        </w:tc>
        <w:tc>
          <w:tcPr>
            <w:tcW w:w="97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Obligatorio (NOT NULL)</w:t>
            </w:r>
          </w:p>
        </w:tc>
        <w:tc>
          <w:tcPr>
            <w:tcW w:w="95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Clave única alfanumérica</w:t>
            </w:r>
          </w:p>
        </w:tc>
        <w:tc>
          <w:tcPr>
            <w:tcW w:w="868"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Confidencial</w:t>
            </w:r>
          </w:p>
        </w:tc>
        <w:tc>
          <w:tcPr>
            <w:tcW w:w="887"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Clave operativa / Trazabilidad</w:t>
            </w:r>
          </w:p>
        </w:tc>
        <w:tc>
          <w:tcPr>
            <w:tcW w:w="70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POL-CAL-01</w:t>
            </w:r>
          </w:p>
        </w:tc>
      </w:tr>
      <w:tr>
        <w:tc>
          <w:tcPr>
            <w:tcW w:w="1281"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fecha_recoleccion</w:t>
            </w:r>
          </w:p>
        </w:tc>
        <w:tc>
          <w:tcPr>
            <w:tcW w:w="982" w:type="dxa"/>
            <w:shd w:val="clear" w:color="auto" w:fill="FFFFFF"/>
            <w:tcMar>
              <w:top w:w="100" w:type="dxa"/>
              <w:left w:w="150" w:type="dxa"/>
              <w:bottom w:w="100" w:type="dxa"/>
              <w:right w:w="150" w:type="dxa"/>
            </w:tcMar>
          </w:tcPr>
          <w:p>
            <w:pPr>
              <w:rPr>
                <w:rFonts w:ascii="Times New Roman" w:cs="Times New Roman" w:hAnsi="Times New Roman"/>
                <w:lang w:val="es-ES"/>
              </w:rPr>
            </w:pPr>
            <w:r>
              <w:rPr>
                <w:rFonts w:ascii="Times New Roman" w:cs="Times New Roman" w:hAnsi="Times New Roman"/>
                <w:sz w:val="13"/>
                <w:lang w:val="es-ES"/>
              </w:rPr>
              <w:t>Fecha del evento o corte en Centro de Distribución</w:t>
            </w:r>
          </w:p>
        </w:tc>
        <w:tc>
          <w:tcPr>
            <w:tcW w:w="689"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Fecha</w:t>
            </w:r>
          </w:p>
        </w:tc>
        <w:tc>
          <w:tcPr>
            <w:tcW w:w="797"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AAAA-MM-DD</w:t>
            </w:r>
          </w:p>
        </w:tc>
        <w:tc>
          <w:tcPr>
            <w:tcW w:w="678"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TMS Recepción</w:t>
            </w:r>
          </w:p>
        </w:tc>
        <w:tc>
          <w:tcPr>
            <w:tcW w:w="852"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Data Steward (Supervisor)</w:t>
            </w:r>
          </w:p>
        </w:tc>
        <w:tc>
          <w:tcPr>
            <w:tcW w:w="972"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Obligatorio (NOT NULL)</w:t>
            </w:r>
          </w:p>
        </w:tc>
        <w:tc>
          <w:tcPr>
            <w:tcW w:w="952" w:type="dxa"/>
            <w:shd w:val="clear" w:color="auto" w:fill="FFFFFF"/>
            <w:tcMar>
              <w:top w:w="100" w:type="dxa"/>
              <w:left w:w="150" w:type="dxa"/>
              <w:bottom w:w="100" w:type="dxa"/>
              <w:right w:w="150" w:type="dxa"/>
            </w:tcMar>
          </w:tcPr>
          <w:p>
            <w:pPr>
              <w:rPr>
                <w:rFonts w:ascii="Times New Roman" w:cs="Times New Roman" w:hAnsi="Times New Roman"/>
                <w:lang w:val="es-ES"/>
              </w:rPr>
            </w:pPr>
            <w:r>
              <w:rPr>
                <w:rFonts w:ascii="Times New Roman" w:cs="Times New Roman" w:hAnsi="Times New Roman"/>
                <w:sz w:val="13"/>
                <w:lang w:val="es-ES"/>
              </w:rPr>
              <w:t>Fechas desde Ene-2025 a Jun-2026</w:t>
            </w:r>
          </w:p>
        </w:tc>
        <w:tc>
          <w:tcPr>
            <w:tcW w:w="868"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Interno</w:t>
            </w:r>
          </w:p>
        </w:tc>
        <w:tc>
          <w:tcPr>
            <w:tcW w:w="887"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Tiempo / Análisis estacional</w:t>
            </w:r>
          </w:p>
        </w:tc>
        <w:tc>
          <w:tcPr>
            <w:tcW w:w="702"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POL-OPO-03</w:t>
            </w:r>
          </w:p>
        </w:tc>
      </w:tr>
      <w:tr>
        <w:tc>
          <w:tcPr>
            <w:tcW w:w="1281"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zona_destino</w:t>
            </w:r>
          </w:p>
        </w:tc>
        <w:tc>
          <w:tcPr>
            <w:tcW w:w="982" w:type="dxa"/>
            <w:shd w:val="clear" w:color="auto" w:fill="F7FAFC"/>
            <w:tcMar>
              <w:top w:w="100" w:type="dxa"/>
              <w:left w:w="150" w:type="dxa"/>
              <w:bottom w:w="100" w:type="dxa"/>
              <w:right w:w="150" w:type="dxa"/>
            </w:tcMar>
          </w:tcPr>
          <w:p>
            <w:pPr>
              <w:rPr>
                <w:rFonts w:ascii="Times New Roman" w:cs="Times New Roman" w:hAnsi="Times New Roman"/>
                <w:lang w:val="es-ES"/>
              </w:rPr>
            </w:pPr>
            <w:r>
              <w:rPr>
                <w:rFonts w:ascii="Times New Roman" w:cs="Times New Roman" w:hAnsi="Times New Roman"/>
                <w:sz w:val="13"/>
                <w:lang w:val="es-ES"/>
              </w:rPr>
              <w:t>Zona geográfica de entrega del envío</w:t>
            </w:r>
          </w:p>
        </w:tc>
        <w:tc>
          <w:tcPr>
            <w:tcW w:w="689"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Categórica</w:t>
            </w:r>
          </w:p>
        </w:tc>
        <w:tc>
          <w:tcPr>
            <w:tcW w:w="797"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Texto</w:t>
            </w:r>
          </w:p>
        </w:tc>
        <w:tc>
          <w:tcPr>
            <w:tcW w:w="678"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TMS Despacho</w:t>
            </w:r>
          </w:p>
        </w:tc>
        <w:tc>
          <w:tcPr>
            <w:tcW w:w="85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Data Steward (Supervisor)</w:t>
            </w:r>
          </w:p>
        </w:tc>
        <w:tc>
          <w:tcPr>
            <w:tcW w:w="97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Obligatorio (NOT NULL)</w:t>
            </w:r>
          </w:p>
        </w:tc>
        <w:tc>
          <w:tcPr>
            <w:tcW w:w="952" w:type="dxa"/>
            <w:shd w:val="clear" w:color="auto" w:fill="F7FAFC"/>
            <w:tcMar>
              <w:top w:w="100" w:type="dxa"/>
              <w:left w:w="150" w:type="dxa"/>
              <w:bottom w:w="100" w:type="dxa"/>
              <w:right w:w="150" w:type="dxa"/>
            </w:tcMar>
          </w:tcPr>
          <w:p>
            <w:pPr>
              <w:rPr>
                <w:rFonts w:ascii="Times New Roman" w:cs="Times New Roman" w:hAnsi="Times New Roman"/>
                <w:lang w:val="es-ES"/>
              </w:rPr>
            </w:pPr>
            <w:r>
              <w:rPr>
                <w:rFonts w:ascii="Times New Roman" w:cs="Times New Roman" w:hAnsi="Times New Roman"/>
                <w:sz w:val="13"/>
                <w:lang w:val="es-ES"/>
              </w:rPr>
              <w:t>Managua, Carazo, Masaya, Granada, Rivas</w:t>
            </w:r>
          </w:p>
        </w:tc>
        <w:tc>
          <w:tcPr>
            <w:tcW w:w="868"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Interno</w:t>
            </w:r>
          </w:p>
        </w:tc>
        <w:tc>
          <w:tcPr>
            <w:tcW w:w="887"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Segmentación / Predictor espacial CART</w:t>
            </w:r>
          </w:p>
        </w:tc>
        <w:tc>
          <w:tcPr>
            <w:tcW w:w="70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POL-EST-02</w:t>
            </w:r>
          </w:p>
        </w:tc>
      </w:tr>
      <w:tr>
        <w:tc>
          <w:tcPr>
            <w:tcW w:w="1281"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tipo_servicio</w:t>
            </w:r>
          </w:p>
        </w:tc>
        <w:tc>
          <w:tcPr>
            <w:tcW w:w="982" w:type="dxa"/>
            <w:shd w:val="clear" w:color="auto" w:fill="FFFFFF"/>
            <w:tcMar>
              <w:top w:w="100" w:type="dxa"/>
              <w:left w:w="150" w:type="dxa"/>
              <w:bottom w:w="100" w:type="dxa"/>
              <w:right w:w="150" w:type="dxa"/>
            </w:tcMar>
          </w:tcPr>
          <w:p>
            <w:pPr>
              <w:rPr>
                <w:rFonts w:ascii="Times New Roman" w:cs="Times New Roman" w:hAnsi="Times New Roman"/>
                <w:lang w:val="es-ES"/>
              </w:rPr>
            </w:pPr>
            <w:r>
              <w:rPr>
                <w:rFonts w:ascii="Times New Roman" w:cs="Times New Roman" w:hAnsi="Times New Roman"/>
                <w:sz w:val="13"/>
                <w:lang w:val="es-ES"/>
              </w:rPr>
              <w:t>Modalidad contratada por el cliente (vacío = faltante)</w:t>
            </w:r>
          </w:p>
        </w:tc>
        <w:tc>
          <w:tcPr>
            <w:tcW w:w="689"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Categórica</w:t>
            </w:r>
          </w:p>
        </w:tc>
        <w:tc>
          <w:tcPr>
            <w:tcW w:w="797"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Texto</w:t>
            </w:r>
          </w:p>
        </w:tc>
        <w:tc>
          <w:tcPr>
            <w:tcW w:w="678"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TMS Comercial</w:t>
            </w:r>
          </w:p>
        </w:tc>
        <w:tc>
          <w:tcPr>
            <w:tcW w:w="852"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Data Steward (Supervisor)</w:t>
            </w:r>
          </w:p>
        </w:tc>
        <w:tc>
          <w:tcPr>
            <w:tcW w:w="972"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Opcional (9 nulos en V0)</w:t>
            </w:r>
          </w:p>
        </w:tc>
        <w:tc>
          <w:tcPr>
            <w:tcW w:w="952" w:type="dxa"/>
            <w:shd w:val="clear" w:color="auto" w:fill="FFFFFF"/>
            <w:tcMar>
              <w:top w:w="100" w:type="dxa"/>
              <w:left w:w="150" w:type="dxa"/>
              <w:bottom w:w="100" w:type="dxa"/>
              <w:right w:w="150" w:type="dxa"/>
            </w:tcMar>
          </w:tcPr>
          <w:p>
            <w:pPr>
              <w:rPr>
                <w:rFonts w:ascii="Times New Roman" w:cs="Times New Roman" w:hAnsi="Times New Roman"/>
                <w:lang w:val="es-ES"/>
              </w:rPr>
            </w:pPr>
            <w:r>
              <w:rPr>
                <w:rFonts w:ascii="Times New Roman" w:cs="Times New Roman" w:hAnsi="Times New Roman"/>
                <w:sz w:val="13"/>
                <w:lang w:val="es-ES"/>
              </w:rPr>
              <w:t>Mismo día, 24 horas, 48 horas, Económico</w:t>
            </w:r>
          </w:p>
        </w:tc>
        <w:tc>
          <w:tcPr>
            <w:tcW w:w="868"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Interno</w:t>
            </w:r>
          </w:p>
        </w:tc>
        <w:tc>
          <w:tcPr>
            <w:tcW w:w="887"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Segmentación / Predictor prioridad</w:t>
            </w:r>
          </w:p>
        </w:tc>
        <w:tc>
          <w:tcPr>
            <w:tcW w:w="702"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POL-EST-02</w:t>
            </w:r>
          </w:p>
        </w:tc>
      </w:tr>
      <w:tr>
        <w:tc>
          <w:tcPr>
            <w:tcW w:w="1281"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tipo_cliente</w:t>
            </w:r>
          </w:p>
        </w:tc>
        <w:tc>
          <w:tcPr>
            <w:tcW w:w="98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Segmento comercial del remitente</w:t>
            </w:r>
          </w:p>
        </w:tc>
        <w:tc>
          <w:tcPr>
            <w:tcW w:w="689"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Categórica</w:t>
            </w:r>
          </w:p>
        </w:tc>
        <w:tc>
          <w:tcPr>
            <w:tcW w:w="797"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Texto</w:t>
            </w:r>
          </w:p>
        </w:tc>
        <w:tc>
          <w:tcPr>
            <w:tcW w:w="678"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TMS Comercial</w:t>
            </w:r>
          </w:p>
        </w:tc>
        <w:tc>
          <w:tcPr>
            <w:tcW w:w="85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Data Steward (Supervisor)</w:t>
            </w:r>
          </w:p>
        </w:tc>
        <w:tc>
          <w:tcPr>
            <w:tcW w:w="97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Opcional (3 nulos en V0)</w:t>
            </w:r>
          </w:p>
        </w:tc>
        <w:tc>
          <w:tcPr>
            <w:tcW w:w="952" w:type="dxa"/>
            <w:shd w:val="clear" w:color="auto" w:fill="F7FAFC"/>
            <w:tcMar>
              <w:top w:w="100" w:type="dxa"/>
              <w:left w:w="150" w:type="dxa"/>
              <w:bottom w:w="100" w:type="dxa"/>
              <w:right w:w="150" w:type="dxa"/>
            </w:tcMar>
          </w:tcPr>
          <w:p>
            <w:pPr>
              <w:rPr>
                <w:rFonts w:ascii="Times New Roman" w:cs="Times New Roman" w:hAnsi="Times New Roman"/>
                <w:lang w:val="es-ES"/>
              </w:rPr>
            </w:pPr>
            <w:r>
              <w:rPr>
                <w:rFonts w:ascii="Times New Roman" w:cs="Times New Roman" w:hAnsi="Times New Roman"/>
                <w:sz w:val="13"/>
                <w:lang w:val="es-ES"/>
              </w:rPr>
              <w:t>E-commerce, Pyme, Corporativo, Persona</w:t>
            </w:r>
          </w:p>
        </w:tc>
        <w:tc>
          <w:tcPr>
            <w:tcW w:w="868"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Interno</w:t>
            </w:r>
          </w:p>
        </w:tc>
        <w:tc>
          <w:tcPr>
            <w:tcW w:w="887"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Segmentación de comportamiento</w:t>
            </w:r>
          </w:p>
        </w:tc>
        <w:tc>
          <w:tcPr>
            <w:tcW w:w="70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POL-EST-02</w:t>
            </w:r>
          </w:p>
        </w:tc>
      </w:tr>
      <w:tr>
        <w:tc>
          <w:tcPr>
            <w:tcW w:w="1281"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franja_entrega</w:t>
            </w:r>
          </w:p>
        </w:tc>
        <w:tc>
          <w:tcPr>
            <w:tcW w:w="982" w:type="dxa"/>
            <w:shd w:val="clear" w:color="auto" w:fill="FFFFFF"/>
            <w:tcMar>
              <w:top w:w="100" w:type="dxa"/>
              <w:left w:w="150" w:type="dxa"/>
              <w:bottom w:w="100" w:type="dxa"/>
              <w:right w:w="150" w:type="dxa"/>
            </w:tcMar>
          </w:tcPr>
          <w:p>
            <w:pPr>
              <w:rPr>
                <w:rFonts w:ascii="Times New Roman" w:cs="Times New Roman" w:hAnsi="Times New Roman"/>
                <w:lang w:val="es-ES"/>
              </w:rPr>
            </w:pPr>
            <w:r>
              <w:rPr>
                <w:rFonts w:ascii="Times New Roman" w:cs="Times New Roman" w:hAnsi="Times New Roman"/>
                <w:sz w:val="13"/>
                <w:lang w:val="es-ES"/>
              </w:rPr>
              <w:t>Ventana horaria (NOCTURNA conserva error etiqueta)</w:t>
            </w:r>
          </w:p>
        </w:tc>
        <w:tc>
          <w:tcPr>
            <w:tcW w:w="689"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Categórica</w:t>
            </w:r>
          </w:p>
        </w:tc>
        <w:tc>
          <w:tcPr>
            <w:tcW w:w="797"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Texto</w:t>
            </w:r>
          </w:p>
        </w:tc>
        <w:tc>
          <w:tcPr>
            <w:tcW w:w="678"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App Móvil</w:t>
            </w:r>
          </w:p>
        </w:tc>
        <w:tc>
          <w:tcPr>
            <w:tcW w:w="852"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Data Steward (Supervisor)</w:t>
            </w:r>
          </w:p>
        </w:tc>
        <w:tc>
          <w:tcPr>
            <w:tcW w:w="972"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Obligatorio (NOT NULL)</w:t>
            </w:r>
          </w:p>
        </w:tc>
        <w:tc>
          <w:tcPr>
            <w:tcW w:w="952" w:type="dxa"/>
            <w:shd w:val="clear" w:color="auto" w:fill="FFFFFF"/>
            <w:tcMar>
              <w:top w:w="100" w:type="dxa"/>
              <w:left w:w="150" w:type="dxa"/>
              <w:bottom w:w="100" w:type="dxa"/>
              <w:right w:w="150" w:type="dxa"/>
            </w:tcMar>
          </w:tcPr>
          <w:p>
            <w:pPr>
              <w:rPr>
                <w:rFonts w:ascii="Times New Roman" w:cs="Times New Roman" w:hAnsi="Times New Roman"/>
                <w:lang w:val="es-ES"/>
              </w:rPr>
            </w:pPr>
            <w:r>
              <w:rPr>
                <w:rFonts w:ascii="Times New Roman" w:cs="Times New Roman" w:hAnsi="Times New Roman"/>
                <w:sz w:val="13"/>
                <w:lang w:val="es-ES"/>
              </w:rPr>
              <w:t>AM, PM, Nocturna, Sin franja</w:t>
            </w:r>
          </w:p>
        </w:tc>
        <w:tc>
          <w:tcPr>
            <w:tcW w:w="868"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Interno</w:t>
            </w:r>
          </w:p>
        </w:tc>
        <w:tc>
          <w:tcPr>
            <w:tcW w:w="887"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Segmentación / Predictor temporal CART</w:t>
            </w:r>
          </w:p>
        </w:tc>
        <w:tc>
          <w:tcPr>
            <w:tcW w:w="702"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POL-EST-02</w:t>
            </w:r>
          </w:p>
        </w:tc>
      </w:tr>
      <w:tr>
        <w:tc>
          <w:tcPr>
            <w:tcW w:w="1281"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peso_kg</w:t>
            </w:r>
          </w:p>
        </w:tc>
        <w:tc>
          <w:tcPr>
            <w:tcW w:w="982" w:type="dxa"/>
            <w:shd w:val="clear" w:color="auto" w:fill="F7FAFC"/>
            <w:tcMar>
              <w:top w:w="100" w:type="dxa"/>
              <w:left w:w="150" w:type="dxa"/>
              <w:bottom w:w="100" w:type="dxa"/>
              <w:right w:w="150" w:type="dxa"/>
            </w:tcMar>
          </w:tcPr>
          <w:p>
            <w:pPr>
              <w:rPr>
                <w:rFonts w:ascii="Times New Roman" w:cs="Times New Roman" w:hAnsi="Times New Roman"/>
                <w:lang w:val="es-ES"/>
              </w:rPr>
            </w:pPr>
            <w:r>
              <w:rPr>
                <w:rFonts w:ascii="Times New Roman" w:cs="Times New Roman" w:hAnsi="Times New Roman"/>
                <w:sz w:val="13"/>
                <w:lang w:val="es-ES"/>
              </w:rPr>
              <w:t>Peso físico registrado de la carga</w:t>
            </w:r>
          </w:p>
        </w:tc>
        <w:tc>
          <w:tcPr>
            <w:tcW w:w="689"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Numérica</w:t>
            </w:r>
          </w:p>
        </w:tc>
        <w:tc>
          <w:tcPr>
            <w:tcW w:w="797"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Decimal (kg)</w:t>
            </w:r>
          </w:p>
        </w:tc>
        <w:tc>
          <w:tcPr>
            <w:tcW w:w="678"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Báscula / TMS</w:t>
            </w:r>
          </w:p>
        </w:tc>
        <w:tc>
          <w:tcPr>
            <w:tcW w:w="85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Data Custodian (TI)</w:t>
            </w:r>
          </w:p>
        </w:tc>
        <w:tc>
          <w:tcPr>
            <w:tcW w:w="97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Obligatorio (NOT NULL)</w:t>
            </w:r>
          </w:p>
        </w:tc>
        <w:tc>
          <w:tcPr>
            <w:tcW w:w="95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Rango esperado 0.1 - 45.0 kg</w:t>
            </w:r>
          </w:p>
        </w:tc>
        <w:tc>
          <w:tcPr>
            <w:tcW w:w="868"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Interno</w:t>
            </w:r>
          </w:p>
        </w:tc>
        <w:tc>
          <w:tcPr>
            <w:tcW w:w="887"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Medición / Variable capacidad</w:t>
            </w:r>
          </w:p>
        </w:tc>
        <w:tc>
          <w:tcPr>
            <w:tcW w:w="70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POL-CAL-01</w:t>
            </w:r>
          </w:p>
        </w:tc>
      </w:tr>
      <w:tr>
        <w:tc>
          <w:tcPr>
            <w:tcW w:w="1281"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distancia_km</w:t>
            </w:r>
          </w:p>
        </w:tc>
        <w:tc>
          <w:tcPr>
            <w:tcW w:w="982" w:type="dxa"/>
            <w:shd w:val="clear" w:color="auto" w:fill="FFFFFF"/>
            <w:tcMar>
              <w:top w:w="100" w:type="dxa"/>
              <w:left w:w="150" w:type="dxa"/>
              <w:bottom w:w="100" w:type="dxa"/>
              <w:right w:w="150" w:type="dxa"/>
            </w:tcMar>
          </w:tcPr>
          <w:p>
            <w:pPr>
              <w:rPr>
                <w:rFonts w:ascii="Times New Roman" w:cs="Times New Roman" w:hAnsi="Times New Roman"/>
                <w:lang w:val="es-ES"/>
              </w:rPr>
            </w:pPr>
            <w:r>
              <w:rPr>
                <w:rFonts w:ascii="Times New Roman" w:cs="Times New Roman" w:hAnsi="Times New Roman"/>
                <w:sz w:val="13"/>
                <w:lang w:val="es-ES"/>
              </w:rPr>
              <w:t>Distancia recorrida por la ruta de reparto</w:t>
            </w:r>
          </w:p>
        </w:tc>
        <w:tc>
          <w:tcPr>
            <w:tcW w:w="689"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Numérica</w:t>
            </w:r>
          </w:p>
        </w:tc>
        <w:tc>
          <w:tcPr>
            <w:tcW w:w="797"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Decimal (km)</w:t>
            </w:r>
          </w:p>
        </w:tc>
        <w:tc>
          <w:tcPr>
            <w:tcW w:w="678"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GPS / TMS</w:t>
            </w:r>
          </w:p>
        </w:tc>
        <w:tc>
          <w:tcPr>
            <w:tcW w:w="852"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Data Custodian (TI)</w:t>
            </w:r>
          </w:p>
        </w:tc>
        <w:tc>
          <w:tcPr>
            <w:tcW w:w="972"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Obligatorio (NOT NULL)</w:t>
            </w:r>
          </w:p>
        </w:tc>
        <w:tc>
          <w:tcPr>
            <w:tcW w:w="952"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Rango esperado 1.0 - 160.0 km</w:t>
            </w:r>
          </w:p>
        </w:tc>
        <w:tc>
          <w:tcPr>
            <w:tcW w:w="868"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Interno</w:t>
            </w:r>
          </w:p>
        </w:tc>
        <w:tc>
          <w:tcPr>
            <w:tcW w:w="887"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Medición / Variable complejidad</w:t>
            </w:r>
          </w:p>
        </w:tc>
        <w:tc>
          <w:tcPr>
            <w:tcW w:w="702"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POL-CAL-01</w:t>
            </w:r>
          </w:p>
        </w:tc>
      </w:tr>
      <w:tr>
        <w:tc>
          <w:tcPr>
            <w:tcW w:w="1281"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intentos_entrega</w:t>
            </w:r>
          </w:p>
        </w:tc>
        <w:tc>
          <w:tcPr>
            <w:tcW w:w="982" w:type="dxa"/>
            <w:shd w:val="clear" w:color="auto" w:fill="F7FAFC"/>
            <w:tcMar>
              <w:top w:w="100" w:type="dxa"/>
              <w:left w:w="150" w:type="dxa"/>
              <w:bottom w:w="100" w:type="dxa"/>
              <w:right w:w="150" w:type="dxa"/>
            </w:tcMar>
          </w:tcPr>
          <w:p>
            <w:pPr>
              <w:rPr>
                <w:rFonts w:ascii="Times New Roman" w:cs="Times New Roman" w:hAnsi="Times New Roman"/>
                <w:lang w:val="es-ES"/>
              </w:rPr>
            </w:pPr>
            <w:r>
              <w:rPr>
                <w:rFonts w:ascii="Times New Roman" w:cs="Times New Roman" w:hAnsi="Times New Roman"/>
                <w:sz w:val="13"/>
                <w:lang w:val="es-ES"/>
              </w:rPr>
              <w:t>Número de visitas realizadas al domicilio</w:t>
            </w:r>
          </w:p>
        </w:tc>
        <w:tc>
          <w:tcPr>
            <w:tcW w:w="689"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Numérica</w:t>
            </w:r>
          </w:p>
        </w:tc>
        <w:tc>
          <w:tcPr>
            <w:tcW w:w="797"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Entero</w:t>
            </w:r>
          </w:p>
        </w:tc>
        <w:tc>
          <w:tcPr>
            <w:tcW w:w="678"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App Móvil</w:t>
            </w:r>
          </w:p>
        </w:tc>
        <w:tc>
          <w:tcPr>
            <w:tcW w:w="85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Data Steward (Supervisor)</w:t>
            </w:r>
          </w:p>
        </w:tc>
        <w:tc>
          <w:tcPr>
            <w:tcW w:w="97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Obligatorio (NOT NULL)</w:t>
            </w:r>
          </w:p>
        </w:tc>
        <w:tc>
          <w:tcPr>
            <w:tcW w:w="95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Rango esperado 1 - 4 intentos</w:t>
            </w:r>
          </w:p>
        </w:tc>
        <w:tc>
          <w:tcPr>
            <w:tcW w:w="868"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Interno</w:t>
            </w:r>
          </w:p>
        </w:tc>
        <w:tc>
          <w:tcPr>
            <w:tcW w:w="887"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Medición / Predictor de fricción</w:t>
            </w:r>
          </w:p>
        </w:tc>
        <w:tc>
          <w:tcPr>
            <w:tcW w:w="70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POL-CAL-01</w:t>
            </w:r>
          </w:p>
        </w:tc>
      </w:tr>
      <w:tr>
        <w:tc>
          <w:tcPr>
            <w:tcW w:w="1281"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paradas_ruta</w:t>
            </w:r>
          </w:p>
        </w:tc>
        <w:tc>
          <w:tcPr>
            <w:tcW w:w="982" w:type="dxa"/>
            <w:shd w:val="clear" w:color="auto" w:fill="FFFFFF"/>
            <w:tcMar>
              <w:top w:w="100" w:type="dxa"/>
              <w:left w:w="150" w:type="dxa"/>
              <w:bottom w:w="100" w:type="dxa"/>
              <w:right w:w="150" w:type="dxa"/>
            </w:tcMar>
          </w:tcPr>
          <w:p>
            <w:pPr>
              <w:rPr>
                <w:rFonts w:ascii="Times New Roman" w:cs="Times New Roman" w:hAnsi="Times New Roman"/>
                <w:lang w:val="es-ES"/>
              </w:rPr>
            </w:pPr>
            <w:r>
              <w:rPr>
                <w:rFonts w:ascii="Times New Roman" w:cs="Times New Roman" w:hAnsi="Times New Roman"/>
                <w:sz w:val="13"/>
                <w:lang w:val="es-ES"/>
              </w:rPr>
              <w:t>Cantidad de paradas asignadas a la ruta</w:t>
            </w:r>
          </w:p>
        </w:tc>
        <w:tc>
          <w:tcPr>
            <w:tcW w:w="689"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Numérica</w:t>
            </w:r>
          </w:p>
        </w:tc>
        <w:tc>
          <w:tcPr>
            <w:tcW w:w="797"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Entero</w:t>
            </w:r>
          </w:p>
        </w:tc>
        <w:tc>
          <w:tcPr>
            <w:tcW w:w="678"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TMS Rutero</w:t>
            </w:r>
          </w:p>
        </w:tc>
        <w:tc>
          <w:tcPr>
            <w:tcW w:w="852"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Data Steward (Supervisor)</w:t>
            </w:r>
          </w:p>
        </w:tc>
        <w:tc>
          <w:tcPr>
            <w:tcW w:w="972"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Obligatorio (NOT NULL)</w:t>
            </w:r>
          </w:p>
        </w:tc>
        <w:tc>
          <w:tcPr>
            <w:tcW w:w="952"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Rango esperado 12 - 90 paradas</w:t>
            </w:r>
          </w:p>
        </w:tc>
        <w:tc>
          <w:tcPr>
            <w:tcW w:w="868"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Interno</w:t>
            </w:r>
          </w:p>
        </w:tc>
        <w:tc>
          <w:tcPr>
            <w:tcW w:w="887"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Medición / Predictor saturación</w:t>
            </w:r>
          </w:p>
        </w:tc>
        <w:tc>
          <w:tcPr>
            <w:tcW w:w="702"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POL-CAL-01</w:t>
            </w:r>
          </w:p>
        </w:tc>
      </w:tr>
      <w:tr>
        <w:tc>
          <w:tcPr>
            <w:tcW w:w="1281"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condicion_clima</w:t>
            </w:r>
          </w:p>
        </w:tc>
        <w:tc>
          <w:tcPr>
            <w:tcW w:w="982" w:type="dxa"/>
            <w:shd w:val="clear" w:color="auto" w:fill="F7FAFC"/>
            <w:tcMar>
              <w:top w:w="100" w:type="dxa"/>
              <w:left w:w="150" w:type="dxa"/>
              <w:bottom w:w="100" w:type="dxa"/>
              <w:right w:w="150" w:type="dxa"/>
            </w:tcMar>
          </w:tcPr>
          <w:p>
            <w:pPr>
              <w:rPr>
                <w:rFonts w:ascii="Times New Roman" w:cs="Times New Roman" w:hAnsi="Times New Roman"/>
                <w:lang w:val="es-ES"/>
              </w:rPr>
            </w:pPr>
            <w:r>
              <w:rPr>
                <w:rFonts w:ascii="Times New Roman" w:cs="Times New Roman" w:hAnsi="Times New Roman"/>
                <w:sz w:val="13"/>
                <w:lang w:val="es-ES"/>
              </w:rPr>
              <w:t>Estado del clima durante el trayecto</w:t>
            </w:r>
          </w:p>
        </w:tc>
        <w:tc>
          <w:tcPr>
            <w:tcW w:w="689"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Categórica</w:t>
            </w:r>
          </w:p>
        </w:tc>
        <w:tc>
          <w:tcPr>
            <w:tcW w:w="797"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Texto</w:t>
            </w:r>
          </w:p>
        </w:tc>
        <w:tc>
          <w:tcPr>
            <w:tcW w:w="678"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API Clima / App</w:t>
            </w:r>
          </w:p>
        </w:tc>
        <w:tc>
          <w:tcPr>
            <w:tcW w:w="85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Data Steward (Supervisor)</w:t>
            </w:r>
          </w:p>
        </w:tc>
        <w:tc>
          <w:tcPr>
            <w:tcW w:w="97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Opcional (3 nulos en V0)</w:t>
            </w:r>
          </w:p>
        </w:tc>
        <w:tc>
          <w:tcPr>
            <w:tcW w:w="952" w:type="dxa"/>
            <w:shd w:val="clear" w:color="auto" w:fill="F7FAFC"/>
            <w:tcMar>
              <w:top w:w="100" w:type="dxa"/>
              <w:left w:w="150" w:type="dxa"/>
              <w:bottom w:w="100" w:type="dxa"/>
              <w:right w:w="150" w:type="dxa"/>
            </w:tcMar>
          </w:tcPr>
          <w:p>
            <w:pPr>
              <w:rPr>
                <w:rFonts w:ascii="Times New Roman" w:cs="Times New Roman" w:hAnsi="Times New Roman"/>
                <w:lang w:val="es-ES"/>
              </w:rPr>
            </w:pPr>
            <w:r>
              <w:rPr>
                <w:rFonts w:ascii="Times New Roman" w:cs="Times New Roman" w:hAnsi="Times New Roman"/>
                <w:sz w:val="13"/>
                <w:lang w:val="es-ES"/>
              </w:rPr>
              <w:t>Despejado, Lluvia, Alerta vial, Normal</w:t>
            </w:r>
          </w:p>
        </w:tc>
        <w:tc>
          <w:tcPr>
            <w:tcW w:w="868"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Público</w:t>
            </w:r>
          </w:p>
        </w:tc>
        <w:tc>
          <w:tcPr>
            <w:tcW w:w="887"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Contexto / Variable contextual CART</w:t>
            </w:r>
          </w:p>
        </w:tc>
        <w:tc>
          <w:tcPr>
            <w:tcW w:w="70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POL-EST-02</w:t>
            </w:r>
          </w:p>
        </w:tc>
      </w:tr>
      <w:tr>
        <w:tc>
          <w:tcPr>
            <w:tcW w:w="1281"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sistema_origen</w:t>
            </w:r>
          </w:p>
        </w:tc>
        <w:tc>
          <w:tcPr>
            <w:tcW w:w="982" w:type="dxa"/>
            <w:shd w:val="clear" w:color="auto" w:fill="FFFFFF"/>
            <w:tcMar>
              <w:top w:w="100" w:type="dxa"/>
              <w:left w:w="150" w:type="dxa"/>
              <w:bottom w:w="100" w:type="dxa"/>
              <w:right w:w="150" w:type="dxa"/>
            </w:tcMar>
          </w:tcPr>
          <w:p>
            <w:pPr>
              <w:rPr>
                <w:rFonts w:ascii="Times New Roman" w:cs="Times New Roman" w:hAnsi="Times New Roman"/>
                <w:lang w:val="es-ES"/>
              </w:rPr>
            </w:pPr>
            <w:r>
              <w:rPr>
                <w:rFonts w:ascii="Times New Roman" w:cs="Times New Roman" w:hAnsi="Times New Roman"/>
                <w:sz w:val="13"/>
                <w:lang w:val="es-ES"/>
              </w:rPr>
              <w:t>Sistema informático de procedencia del dato</w:t>
            </w:r>
          </w:p>
        </w:tc>
        <w:tc>
          <w:tcPr>
            <w:tcW w:w="689"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Categórica</w:t>
            </w:r>
          </w:p>
        </w:tc>
        <w:tc>
          <w:tcPr>
            <w:tcW w:w="797"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Texto</w:t>
            </w:r>
          </w:p>
        </w:tc>
        <w:tc>
          <w:tcPr>
            <w:tcW w:w="678"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Logs de TI</w:t>
            </w:r>
          </w:p>
        </w:tc>
        <w:tc>
          <w:tcPr>
            <w:tcW w:w="852"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Data Custodian (TI)</w:t>
            </w:r>
          </w:p>
        </w:tc>
        <w:tc>
          <w:tcPr>
            <w:tcW w:w="972"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Obligatorio (NOT NULL)</w:t>
            </w:r>
          </w:p>
        </w:tc>
        <w:tc>
          <w:tcPr>
            <w:tcW w:w="952" w:type="dxa"/>
            <w:shd w:val="clear" w:color="auto" w:fill="FFFFFF"/>
            <w:tcMar>
              <w:top w:w="100" w:type="dxa"/>
              <w:left w:w="150" w:type="dxa"/>
              <w:bottom w:w="100" w:type="dxa"/>
              <w:right w:w="150" w:type="dxa"/>
            </w:tcMar>
          </w:tcPr>
          <w:p>
            <w:pPr>
              <w:rPr>
                <w:rFonts w:ascii="Times New Roman" w:cs="Times New Roman" w:hAnsi="Times New Roman"/>
                <w:lang w:val="es-ES"/>
              </w:rPr>
            </w:pPr>
            <w:r>
              <w:rPr>
                <w:rFonts w:ascii="Times New Roman" w:cs="Times New Roman" w:hAnsi="Times New Roman"/>
                <w:sz w:val="13"/>
                <w:lang w:val="es-ES"/>
              </w:rPr>
              <w:t>TMS, App repartidor, GPS, Atención</w:t>
            </w:r>
          </w:p>
        </w:tc>
        <w:tc>
          <w:tcPr>
            <w:tcW w:w="868"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Interno</w:t>
            </w:r>
          </w:p>
        </w:tc>
        <w:tc>
          <w:tcPr>
            <w:tcW w:w="887"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Linaje / Trazabilidad de origen</w:t>
            </w:r>
          </w:p>
        </w:tc>
        <w:tc>
          <w:tcPr>
            <w:tcW w:w="702"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POL-OPO-03</w:t>
            </w:r>
          </w:p>
        </w:tc>
      </w:tr>
      <w:tr>
        <w:tc>
          <w:tcPr>
            <w:tcW w:w="1281"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entrega_fuera_sla</w:t>
            </w:r>
          </w:p>
        </w:tc>
        <w:tc>
          <w:tcPr>
            <w:tcW w:w="982" w:type="dxa"/>
            <w:shd w:val="clear" w:color="auto" w:fill="F7FAFC"/>
            <w:tcMar>
              <w:top w:w="100" w:type="dxa"/>
              <w:left w:w="150" w:type="dxa"/>
              <w:bottom w:w="100" w:type="dxa"/>
              <w:right w:w="150" w:type="dxa"/>
            </w:tcMar>
          </w:tcPr>
          <w:p>
            <w:pPr>
              <w:rPr>
                <w:rFonts w:ascii="Times New Roman" w:cs="Times New Roman" w:hAnsi="Times New Roman"/>
                <w:lang w:val="es-ES"/>
              </w:rPr>
            </w:pPr>
            <w:r>
              <w:rPr>
                <w:rFonts w:ascii="Times New Roman" w:cs="Times New Roman" w:hAnsi="Times New Roman"/>
                <w:sz w:val="13"/>
                <w:lang w:val="es-ES"/>
              </w:rPr>
              <w:t>1 = fuera de SLA; 0 = caso contrario; vacío = no consolidado</w:t>
            </w:r>
          </w:p>
        </w:tc>
        <w:tc>
          <w:tcPr>
            <w:tcW w:w="689"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Binaria</w:t>
            </w:r>
          </w:p>
        </w:tc>
        <w:tc>
          <w:tcPr>
            <w:tcW w:w="797"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Entero (0 o 1)</w:t>
            </w:r>
          </w:p>
        </w:tc>
        <w:tc>
          <w:tcPr>
            <w:tcW w:w="678"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App Móvil</w:t>
            </w:r>
          </w:p>
        </w:tc>
        <w:tc>
          <w:tcPr>
            <w:tcW w:w="85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Data Custodian (TI)</w:t>
            </w:r>
          </w:p>
        </w:tc>
        <w:tc>
          <w:tcPr>
            <w:tcW w:w="97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Obligatorio (NOT NULL)</w:t>
            </w:r>
          </w:p>
        </w:tc>
        <w:tc>
          <w:tcPr>
            <w:tcW w:w="952" w:type="dxa"/>
            <w:shd w:val="clear" w:color="auto" w:fill="F7FAFC"/>
            <w:tcMar>
              <w:top w:w="100" w:type="dxa"/>
              <w:left w:w="150" w:type="dxa"/>
              <w:bottom w:w="100" w:type="dxa"/>
              <w:right w:w="150" w:type="dxa"/>
            </w:tcMar>
          </w:tcPr>
          <w:p>
            <w:pPr>
              <w:rPr>
                <w:rFonts w:ascii="Times New Roman" w:cs="Times New Roman" w:hAnsi="Times New Roman"/>
                <w:lang w:val="es-ES"/>
              </w:rPr>
            </w:pPr>
            <w:r>
              <w:rPr>
                <w:rFonts w:ascii="Times New Roman" w:cs="Times New Roman" w:hAnsi="Times New Roman"/>
                <w:sz w:val="13"/>
                <w:lang w:val="es-ES"/>
              </w:rPr>
              <w:t>1 = Fuera de SLA, 0 = A tiempo</w:t>
            </w:r>
          </w:p>
        </w:tc>
        <w:tc>
          <w:tcPr>
            <w:tcW w:w="868"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Interno</w:t>
            </w:r>
          </w:p>
        </w:tc>
        <w:tc>
          <w:tcPr>
            <w:tcW w:w="887"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Resultado / VARIABLE OBJETIVO (Target)</w:t>
            </w:r>
          </w:p>
        </w:tc>
        <w:tc>
          <w:tcPr>
            <w:tcW w:w="70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POL-CAL-01</w:t>
            </w:r>
          </w:p>
        </w:tc>
      </w:tr>
      <w:tr>
        <w:tc>
          <w:tcPr>
            <w:tcW w:w="1281"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geolocalizacion_autorizada</w:t>
            </w:r>
          </w:p>
        </w:tc>
        <w:tc>
          <w:tcPr>
            <w:tcW w:w="982" w:type="dxa"/>
            <w:shd w:val="clear" w:color="auto" w:fill="FFFFFF"/>
            <w:tcMar>
              <w:top w:w="100" w:type="dxa"/>
              <w:left w:w="150" w:type="dxa"/>
              <w:bottom w:w="100" w:type="dxa"/>
              <w:right w:w="150" w:type="dxa"/>
            </w:tcMar>
          </w:tcPr>
          <w:p>
            <w:pPr>
              <w:rPr>
                <w:rFonts w:ascii="Times New Roman" w:cs="Times New Roman" w:hAnsi="Times New Roman"/>
                <w:lang w:val="es-ES"/>
              </w:rPr>
            </w:pPr>
            <w:r>
              <w:rPr>
                <w:rFonts w:ascii="Times New Roman" w:cs="Times New Roman" w:hAnsi="Times New Roman"/>
                <w:sz w:val="13"/>
                <w:lang w:val="es-ES"/>
              </w:rPr>
              <w:t>Bandera de autorización/uso permitido de GPS</w:t>
            </w:r>
          </w:p>
        </w:tc>
        <w:tc>
          <w:tcPr>
            <w:tcW w:w="689"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Categórica</w:t>
            </w:r>
          </w:p>
        </w:tc>
        <w:tc>
          <w:tcPr>
            <w:tcW w:w="797"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Texto</w:t>
            </w:r>
          </w:p>
        </w:tc>
        <w:tc>
          <w:tcPr>
            <w:tcW w:w="678"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API App Móvil</w:t>
            </w:r>
          </w:p>
        </w:tc>
        <w:tc>
          <w:tcPr>
            <w:tcW w:w="852"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Data Owner (Coordinador)</w:t>
            </w:r>
          </w:p>
        </w:tc>
        <w:tc>
          <w:tcPr>
            <w:tcW w:w="972"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Obligatorio (NOT NULL)</w:t>
            </w:r>
          </w:p>
        </w:tc>
        <w:tc>
          <w:tcPr>
            <w:tcW w:w="952"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Autorizada, No autorizada</w:t>
            </w:r>
          </w:p>
        </w:tc>
        <w:tc>
          <w:tcPr>
            <w:tcW w:w="868"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Sensible</w:t>
            </w:r>
          </w:p>
        </w:tc>
        <w:tc>
          <w:tcPr>
            <w:tcW w:w="887" w:type="dxa"/>
            <w:shd w:val="clear" w:color="auto" w:fill="FFFFFF"/>
            <w:tcMar>
              <w:top w:w="100" w:type="dxa"/>
              <w:left w:w="150" w:type="dxa"/>
              <w:bottom w:w="100" w:type="dxa"/>
              <w:right w:w="150" w:type="dxa"/>
            </w:tcMar>
          </w:tcPr>
          <w:p>
            <w:pPr>
              <w:rPr>
                <w:rFonts w:ascii="Times New Roman" w:cs="Times New Roman" w:hAnsi="Times New Roman"/>
                <w:lang w:val="es-ES"/>
              </w:rPr>
            </w:pPr>
            <w:r>
              <w:rPr>
                <w:rFonts w:ascii="Times New Roman" w:cs="Times New Roman" w:hAnsi="Times New Roman"/>
                <w:sz w:val="13"/>
                <w:lang w:val="es-ES"/>
              </w:rPr>
              <w:t>Gobierno / Filtro ético de privacidad</w:t>
            </w:r>
          </w:p>
        </w:tc>
        <w:tc>
          <w:tcPr>
            <w:tcW w:w="702"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POL-SEC-04</w:t>
            </w:r>
          </w:p>
        </w:tc>
      </w:tr>
      <w:tr>
        <w:tc>
          <w:tcPr>
            <w:tcW w:w="1281"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fecha_carga</w:t>
            </w:r>
          </w:p>
        </w:tc>
        <w:tc>
          <w:tcPr>
            <w:tcW w:w="982" w:type="dxa"/>
            <w:shd w:val="clear" w:color="auto" w:fill="F7FAFC"/>
            <w:tcMar>
              <w:top w:w="100" w:type="dxa"/>
              <w:left w:w="150" w:type="dxa"/>
              <w:bottom w:w="100" w:type="dxa"/>
              <w:right w:w="150" w:type="dxa"/>
            </w:tcMar>
          </w:tcPr>
          <w:p>
            <w:pPr>
              <w:rPr>
                <w:rFonts w:ascii="Times New Roman" w:cs="Times New Roman" w:hAnsi="Times New Roman"/>
                <w:lang w:val="es-ES"/>
              </w:rPr>
            </w:pPr>
            <w:r>
              <w:rPr>
                <w:rFonts w:ascii="Times New Roman" w:cs="Times New Roman" w:hAnsi="Times New Roman"/>
                <w:sz w:val="13"/>
                <w:lang w:val="es-ES"/>
              </w:rPr>
              <w:t>Fecha de incorporación al conjunto analítico</w:t>
            </w:r>
          </w:p>
        </w:tc>
        <w:tc>
          <w:tcPr>
            <w:tcW w:w="689"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Fecha</w:t>
            </w:r>
          </w:p>
        </w:tc>
        <w:tc>
          <w:tcPr>
            <w:tcW w:w="797"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AAAA-MM-DD</w:t>
            </w:r>
          </w:p>
        </w:tc>
        <w:tc>
          <w:tcPr>
            <w:tcW w:w="678"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ETL / BD</w:t>
            </w:r>
          </w:p>
        </w:tc>
        <w:tc>
          <w:tcPr>
            <w:tcW w:w="85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Data Custodian (TI)</w:t>
            </w:r>
          </w:p>
        </w:tc>
        <w:tc>
          <w:tcPr>
            <w:tcW w:w="97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Obligatorio (NOT NULL)</w:t>
            </w:r>
          </w:p>
        </w:tc>
        <w:tc>
          <w:tcPr>
            <w:tcW w:w="952" w:type="dxa"/>
            <w:shd w:val="clear" w:color="auto" w:fill="F7FAFC"/>
            <w:tcMar>
              <w:top w:w="100" w:type="dxa"/>
              <w:left w:w="150" w:type="dxa"/>
              <w:bottom w:w="100" w:type="dxa"/>
              <w:right w:w="150" w:type="dxa"/>
            </w:tcMar>
          </w:tcPr>
          <w:p>
            <w:pPr>
              <w:rPr>
                <w:rFonts w:ascii="Times New Roman" w:cs="Times New Roman" w:hAnsi="Times New Roman"/>
                <w:lang w:val="es-ES"/>
              </w:rPr>
            </w:pPr>
            <w:r>
              <w:rPr>
                <w:rFonts w:ascii="Times New Roman" w:cs="Times New Roman" w:hAnsi="Times New Roman"/>
                <w:sz w:val="13"/>
                <w:lang w:val="es-ES"/>
              </w:rPr>
              <w:t>Fecha igual o posterior a recolección</w:t>
            </w:r>
          </w:p>
        </w:tc>
        <w:tc>
          <w:tcPr>
            <w:tcW w:w="868"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Interno</w:t>
            </w:r>
          </w:p>
        </w:tc>
        <w:tc>
          <w:tcPr>
            <w:tcW w:w="887"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Oportunidad / Medición de latencia</w:t>
            </w:r>
          </w:p>
        </w:tc>
        <w:tc>
          <w:tcPr>
            <w:tcW w:w="702" w:type="dxa"/>
            <w:shd w:val="clear" w:color="auto" w:fill="F7FAFC"/>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POL-OPO-03</w:t>
            </w:r>
          </w:p>
        </w:tc>
      </w:tr>
      <w:tr>
        <w:tc>
          <w:tcPr>
            <w:tcW w:w="1281"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demora_carga_dias</w:t>
            </w:r>
          </w:p>
        </w:tc>
        <w:tc>
          <w:tcPr>
            <w:tcW w:w="982" w:type="dxa"/>
            <w:shd w:val="clear" w:color="auto" w:fill="FFFFFF"/>
            <w:tcMar>
              <w:top w:w="100" w:type="dxa"/>
              <w:left w:w="150" w:type="dxa"/>
              <w:bottom w:w="100" w:type="dxa"/>
              <w:right w:w="150" w:type="dxa"/>
            </w:tcMar>
          </w:tcPr>
          <w:p>
            <w:pPr>
              <w:rPr>
                <w:rFonts w:ascii="Times New Roman" w:cs="Times New Roman" w:hAnsi="Times New Roman"/>
                <w:lang w:val="es-ES"/>
              </w:rPr>
            </w:pPr>
            <w:r>
              <w:rPr>
                <w:rFonts w:ascii="Times New Roman" w:cs="Times New Roman" w:hAnsi="Times New Roman"/>
                <w:sz w:val="13"/>
                <w:lang w:val="es-ES"/>
              </w:rPr>
              <w:t>Días de desasincronización entre recolección y carga</w:t>
            </w:r>
          </w:p>
        </w:tc>
        <w:tc>
          <w:tcPr>
            <w:tcW w:w="689"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Numérica</w:t>
            </w:r>
          </w:p>
        </w:tc>
        <w:tc>
          <w:tcPr>
            <w:tcW w:w="797"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Entero (días)</w:t>
            </w:r>
          </w:p>
        </w:tc>
        <w:tc>
          <w:tcPr>
            <w:tcW w:w="678"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Calculado (ETL)</w:t>
            </w:r>
          </w:p>
        </w:tc>
        <w:tc>
          <w:tcPr>
            <w:tcW w:w="852"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Data Custodian (TI)</w:t>
            </w:r>
          </w:p>
        </w:tc>
        <w:tc>
          <w:tcPr>
            <w:tcW w:w="972"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Calculado</w:t>
            </w:r>
          </w:p>
        </w:tc>
        <w:tc>
          <w:tcPr>
            <w:tcW w:w="952" w:type="dxa"/>
            <w:shd w:val="clear" w:color="auto" w:fill="FFFFFF"/>
            <w:tcMar>
              <w:top w:w="100" w:type="dxa"/>
              <w:left w:w="150" w:type="dxa"/>
              <w:bottom w:w="100" w:type="dxa"/>
              <w:right w:w="150" w:type="dxa"/>
            </w:tcMar>
          </w:tcPr>
          <w:p>
            <w:pPr>
              <w:rPr>
                <w:rFonts w:ascii="Times New Roman" w:cs="Times New Roman" w:hAnsi="Times New Roman"/>
                <w:lang w:val="es-ES"/>
              </w:rPr>
            </w:pPr>
            <w:r>
              <w:rPr>
                <w:rFonts w:ascii="Times New Roman" w:cs="Times New Roman" w:hAnsi="Times New Roman"/>
                <w:sz w:val="13"/>
                <w:lang w:val="es-ES"/>
              </w:rPr>
              <w:t>fecha_carga - fecha_recoleccion (0 a 26)</w:t>
            </w:r>
          </w:p>
        </w:tc>
        <w:tc>
          <w:tcPr>
            <w:tcW w:w="868"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Interno</w:t>
            </w:r>
          </w:p>
        </w:tc>
        <w:tc>
          <w:tcPr>
            <w:tcW w:w="887" w:type="dxa"/>
            <w:shd w:val="clear" w:color="auto" w:fill="FFFFFF"/>
            <w:tcMar>
              <w:top w:w="100" w:type="dxa"/>
              <w:left w:w="150" w:type="dxa"/>
              <w:bottom w:w="100" w:type="dxa"/>
              <w:right w:w="150" w:type="dxa"/>
            </w:tcMar>
          </w:tcPr>
          <w:p>
            <w:pPr>
              <w:rPr>
                <w:rFonts w:ascii="Times New Roman" w:cs="Times New Roman" w:hAnsi="Times New Roman"/>
                <w:lang w:val="es-ES"/>
              </w:rPr>
            </w:pPr>
            <w:r>
              <w:rPr>
                <w:rFonts w:ascii="Times New Roman" w:cs="Times New Roman" w:hAnsi="Times New Roman"/>
                <w:sz w:val="13"/>
                <w:lang w:val="es-ES"/>
              </w:rPr>
              <w:t>KPI Oportunidad / Desfase de ingesta</w:t>
            </w:r>
          </w:p>
        </w:tc>
        <w:tc>
          <w:tcPr>
            <w:tcW w:w="702" w:type="dxa"/>
            <w:shd w:val="clear" w:color="auto" w:fill="FFFFFF"/>
            <w:tcMar>
              <w:top w:w="100" w:type="dxa"/>
              <w:left w:w="150" w:type="dxa"/>
              <w:bottom w:w="100" w:type="dxa"/>
              <w:right w:w="150" w:type="dxa"/>
            </w:tcMar>
          </w:tcPr>
          <w:p>
            <w:pPr>
              <w:rPr>
                <w:rFonts w:ascii="Times New Roman" w:cs="Times New Roman" w:hAnsi="Times New Roman"/>
              </w:rPr>
            </w:pPr>
            <w:r>
              <w:rPr>
                <w:rFonts w:ascii="Times New Roman" w:cs="Times New Roman" w:hAnsi="Times New Roman"/>
                <w:sz w:val="13"/>
              </w:rPr>
              <w:t>POL-OPO-03</w:t>
            </w:r>
          </w:p>
        </w:tc>
      </w:tr>
    </w:tbl>
    <w:p>
      <w:pPr>
        <w:pStyle w:val="20"/>
        <w:numPr>
          <w:ilvl w:val="0"/>
          <w:numId w:val="1"/>
        </w:numPr>
        <w:spacing w:before="280" w:after="120"/>
        <w:rPr>
          <w:rFonts w:ascii="Times New Roman" w:cs="Times New Roman" w:hAnsi="Times New Roman"/>
        </w:rPr>
      </w:pPr>
      <w:r>
        <w:rPr>
          <w:rFonts w:ascii="Times New Roman" w:cs="Times New Roman" w:hAnsi="Times New Roman"/>
          <w:b/>
          <w:sz w:val="24"/>
        </w:rPr>
        <w:t>Catálogo / Glosario</w:t>
      </w:r>
    </w:p>
    <w:p>
      <w:pPr>
        <w:spacing w:after="120"/>
        <w:rPr>
          <w:rFonts w:ascii="Times New Roman" w:cs="Times New Roman" w:hAnsi="Times New Roman"/>
          <w:lang w:val="es-ES"/>
        </w:rPr>
      </w:pPr>
      <w:r>
        <w:rPr>
          <w:rFonts w:ascii="Times New Roman" w:cs="Times New Roman" w:hAnsi="Times New Roman"/>
          <w:sz w:val="20"/>
          <w:lang w:val="es-ES"/>
        </w:rPr>
        <w:t>Definición de los principales términos de negocio y técnicos propios del caso RápidoPacífico Logística:</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680"/>
        <w:gridCol w:w="4680"/>
      </w:tblGrid>
      <w:tr>
        <w:tc>
          <w:tcPr>
            <w:tcW w:w="468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7"/>
              </w:rPr>
              <w:t>Término</w:t>
            </w:r>
          </w:p>
        </w:tc>
        <w:tc>
          <w:tcPr>
            <w:tcW w:w="4680" w:type="dxa"/>
            <w:shd w:val="clear" w:color="auto" w:fill="1A365D"/>
            <w:tcMar>
              <w:top w:w="100" w:type="dxa"/>
              <w:left w:w="150" w:type="dxa"/>
              <w:bottom w:w="100" w:type="dxa"/>
              <w:right w:w="150" w:type="dxa"/>
            </w:tcMar>
          </w:tcPr>
          <w:p>
            <w:pPr>
              <w:jc w:val="center"/>
              <w:rPr>
                <w:rFonts w:ascii="Times New Roman" w:cs="Times New Roman" w:hAnsi="Times New Roman"/>
                <w:lang w:val="es-ES"/>
              </w:rPr>
            </w:pPr>
            <w:r>
              <w:rPr>
                <w:rFonts w:ascii="Times New Roman" w:cs="Times New Roman" w:hAnsi="Times New Roman"/>
                <w:b/>
                <w:color w:val="FFFFFF"/>
                <w:sz w:val="17"/>
                <w:lang w:val="es-ES"/>
              </w:rPr>
              <w:t>Definición Conceptual y Operativa en el Caso</w:t>
            </w:r>
          </w:p>
        </w:tc>
      </w:tr>
      <w:tr>
        <w:tc>
          <w:tcPr>
            <w:tcW w:w="468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Guía de Transporte (id_guia)</w:t>
            </w:r>
          </w:p>
        </w:tc>
        <w:tc>
          <w:tcPr>
            <w:tcW w:w="468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Documento digital y físico alfanumérico único que ampara la recepción, traslado y entrega de un envío de mercancía desde el CD hasta el cliente final.</w:t>
            </w:r>
          </w:p>
        </w:tc>
      </w:tr>
      <w:tr>
        <w:tc>
          <w:tcPr>
            <w:tcW w:w="4680"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SLA de Entrega (Acuerdo Nivel Servicio)</w:t>
            </w:r>
          </w:p>
        </w:tc>
        <w:tc>
          <w:tcPr>
            <w:tcW w:w="4680"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Compromiso contractual de tiempo de entrega según la modalidad contratada: Mismo día (&lt;12 hrs), 24 horas, 48 horas y Económico (hasta 72 hrs).</w:t>
            </w:r>
          </w:p>
        </w:tc>
      </w:tr>
      <w:tr>
        <w:tc>
          <w:tcPr>
            <w:tcW w:w="468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Entrega Fuera de SLA (entrega_fuera_sla)</w:t>
            </w:r>
          </w:p>
        </w:tc>
        <w:tc>
          <w:tcPr>
            <w:tcW w:w="468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Indicador binario de incumplimiento donde 1 representa que el envío superó la ventana SLA contratada y 0 que fue entregado a tiempo.</w:t>
            </w:r>
          </w:p>
        </w:tc>
      </w:tr>
      <w:tr>
        <w:tc>
          <w:tcPr>
            <w:tcW w:w="4680"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Franja de Entrega (franja_entrega)</w:t>
            </w:r>
          </w:p>
        </w:tc>
        <w:tc>
          <w:tcPr>
            <w:tcW w:w="4680"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Ventana horaria asignada para la entrega en domicilio dividida en cuatro categorías oficiales: AM (08:00 - 12:00), PM (12:00 - 17:00), Nocturna (17:00 - 21:00) y Sin franja.</w:t>
            </w:r>
          </w:p>
        </w:tc>
      </w:tr>
      <w:tr>
        <w:tc>
          <w:tcPr>
            <w:tcW w:w="468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Demora de Carga (demora_carga_dias)</w:t>
            </w:r>
          </w:p>
        </w:tc>
        <w:tc>
          <w:tcPr>
            <w:tcW w:w="468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Indicador de latencia calculatedo como la diferencia en días entre fecha_carga y fecha_recoleccion, midiendo el desfasaje de sincronización digital.</w:t>
            </w:r>
          </w:p>
        </w:tc>
      </w:tr>
      <w:tr>
        <w:tc>
          <w:tcPr>
            <w:tcW w:w="4680" w:type="dxa"/>
            <w:shd w:val="clear" w:color="auto" w:fill="FFFFFF"/>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Sistema TMS (Transportation Management System)</w:t>
            </w:r>
          </w:p>
        </w:tc>
        <w:tc>
          <w:tcPr>
            <w:tcW w:w="4680" w:type="dxa"/>
            <w:shd w:val="clear" w:color="auto" w:fill="FFFFFF"/>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Software central de gestión de transporte utilizado para despachos, asignación de itinerarios, ruteo y control de inventario en tránsito.</w:t>
            </w:r>
          </w:p>
        </w:tc>
      </w:tr>
      <w:tr>
        <w:tc>
          <w:tcPr>
            <w:tcW w:w="4680" w:type="dxa"/>
            <w:shd w:val="clear" w:color="auto" w:fill="F7FAFC"/>
            <w:tcMar>
              <w:top w:w="100" w:type="dxa"/>
              <w:left w:w="150" w:type="dxa"/>
              <w:bottom w:w="100" w:type="dxa"/>
              <w:right w:w="150" w:type="dxa"/>
            </w:tcMar>
          </w:tcPr>
          <w:p>
            <w:pPr>
              <w:rPr>
                <w:rFonts w:ascii="Times New Roman" w:cs="Times New Roman" w:hAnsi="Times New Roman"/>
                <w:sz w:val="18"/>
                <w:szCs w:val="18"/>
              </w:rPr>
            </w:pPr>
            <w:r>
              <w:rPr>
                <w:rFonts w:ascii="Times New Roman" w:cs="Times New Roman" w:hAnsi="Times New Roman"/>
                <w:sz w:val="18"/>
                <w:szCs w:val="18"/>
              </w:rPr>
              <w:t>App Repartidor</w:t>
            </w:r>
          </w:p>
        </w:tc>
        <w:tc>
          <w:tcPr>
            <w:tcW w:w="4680" w:type="dxa"/>
            <w:shd w:val="clear" w:color="auto" w:fill="F7FAFC"/>
            <w:tcMar>
              <w:top w:w="100" w:type="dxa"/>
              <w:left w:w="150" w:type="dxa"/>
              <w:bottom w:w="100" w:type="dxa"/>
              <w:right w:w="150" w:type="dxa"/>
            </w:tcMar>
          </w:tcPr>
          <w:p>
            <w:pPr>
              <w:rPr>
                <w:rFonts w:ascii="Times New Roman" w:cs="Times New Roman" w:hAnsi="Times New Roman"/>
                <w:sz w:val="18"/>
                <w:szCs w:val="18"/>
                <w:lang w:val="es-ES"/>
              </w:rPr>
            </w:pPr>
            <w:r>
              <w:rPr>
                <w:rFonts w:ascii="Times New Roman" w:cs="Times New Roman" w:hAnsi="Times New Roman"/>
                <w:sz w:val="18"/>
                <w:szCs w:val="18"/>
                <w:lang w:val="es-ES"/>
              </w:rPr>
              <w:t>Aplicación móvil para smartphones Android utilizada por los conductores para escanear guías, capturar firmas digitales, estatus de entrega y geolocalización GPS.</w:t>
            </w:r>
          </w:p>
        </w:tc>
      </w:tr>
    </w:tbl>
    <w:p>
      <w:pPr>
        <w:pStyle w:val="20"/>
        <w:numPr>
          <w:ilvl w:val="0"/>
          <w:numId w:val="1"/>
        </w:numPr>
        <w:spacing w:before="280" w:after="120"/>
        <w:rPr>
          <w:rFonts w:ascii="Times New Roman" w:cs="Times New Roman" w:hAnsi="Times New Roman"/>
          <w:lang w:val="es-ES"/>
        </w:rPr>
      </w:pPr>
      <w:r>
        <w:rPr>
          <w:rFonts w:ascii="Times New Roman" w:cs="Times New Roman" w:hAnsi="Times New Roman"/>
          <w:b/>
          <w:sz w:val="24"/>
          <w:lang w:val="es-ES"/>
        </w:rPr>
        <w:t>Clasificación de Datos</w:t>
      </w:r>
    </w:p>
    <w:p>
      <w:pPr>
        <w:spacing w:after="120"/>
        <w:rPr>
          <w:rFonts w:ascii="Times New Roman" w:cs="Times New Roman" w:hAnsi="Times New Roman"/>
          <w:sz w:val="20"/>
          <w:lang w:val="es-ES"/>
        </w:rPr>
      </w:pP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3123"/>
        <w:gridCol w:w="3123"/>
        <w:gridCol w:w="3123"/>
      </w:tblGrid>
      <w:tr>
        <w:tc>
          <w:tcPr>
            <w:tcW w:w="3312" w:type="dxa"/>
            <w:tcBorders>
              <w:top w:val="single" w:sz="4" w:space="0" w:color="auto"/>
              <w:left w:val="single" w:sz="4" w:space="0" w:color="auto"/>
              <w:bottom w:val="single" w:sz="4" w:space="0" w:color="auto"/>
              <w:right w:val="single" w:sz="4" w:space="0" w:color="auto"/>
            </w:tcBorders>
            <w:shd w:val="clear" w:color="auto" w:fill="B7D7F0"/>
            <w:vAlign w:val="center"/>
          </w:tcPr>
          <w:p>
            <w:pPr>
              <w:spacing w:after="120" w:line="276" w:lineRule="auto"/>
              <w:rPr>
                <w:rFonts w:ascii="Times New Roman" w:cs="Times New Roman" w:hAnsi="Times New Roman"/>
              </w:rPr>
            </w:pPr>
            <w:r>
              <w:rPr>
                <w:rFonts w:ascii="Times New Roman" w:cs="Times New Roman" w:hAnsi="Times New Roman"/>
                <w:b/>
              </w:rPr>
              <w:t>Dato / grupo</w:t>
            </w:r>
          </w:p>
        </w:tc>
        <w:tc>
          <w:tcPr>
            <w:tcW w:w="3312" w:type="dxa"/>
            <w:tcBorders>
              <w:top w:val="single" w:sz="4" w:space="0" w:color="auto"/>
              <w:left w:val="single" w:sz="4" w:space="0" w:color="auto"/>
              <w:bottom w:val="single" w:sz="4" w:space="0" w:color="auto"/>
              <w:right w:val="single" w:sz="4" w:space="0" w:color="auto"/>
            </w:tcBorders>
            <w:shd w:val="clear" w:color="auto" w:fill="B7D7F0"/>
            <w:vAlign w:val="center"/>
          </w:tcPr>
          <w:p>
            <w:pPr>
              <w:spacing w:after="120" w:line="276" w:lineRule="auto"/>
              <w:rPr>
                <w:rFonts w:ascii="Times New Roman" w:cs="Times New Roman" w:hAnsi="Times New Roman"/>
              </w:rPr>
            </w:pPr>
            <w:r>
              <w:rPr>
                <w:rFonts w:ascii="Times New Roman" w:cs="Times New Roman" w:hAnsi="Times New Roman"/>
                <w:b/>
              </w:rPr>
              <w:t>Clasificación propuesta</w:t>
            </w:r>
          </w:p>
        </w:tc>
        <w:tc>
          <w:tcPr>
            <w:tcW w:w="3312" w:type="dxa"/>
            <w:tcBorders>
              <w:top w:val="single" w:sz="4" w:space="0" w:color="auto"/>
              <w:left w:val="single" w:sz="4" w:space="0" w:color="auto"/>
              <w:bottom w:val="single" w:sz="4" w:space="0" w:color="auto"/>
              <w:right w:val="single" w:sz="4" w:space="0" w:color="auto"/>
            </w:tcBorders>
            <w:shd w:val="clear" w:color="auto" w:fill="B7D7F0"/>
            <w:vAlign w:val="center"/>
          </w:tcPr>
          <w:p>
            <w:pPr>
              <w:spacing w:after="120" w:line="276" w:lineRule="auto"/>
              <w:rPr>
                <w:rFonts w:ascii="Times New Roman" w:cs="Times New Roman" w:hAnsi="Times New Roman"/>
              </w:rPr>
            </w:pPr>
            <w:r>
              <w:rPr>
                <w:rFonts w:ascii="Times New Roman" w:cs="Times New Roman" w:hAnsi="Times New Roman"/>
                <w:b/>
              </w:rPr>
              <w:t>Justificación</w:t>
            </w:r>
          </w:p>
        </w:tc>
      </w:tr>
      <w:tr>
        <w:tc>
          <w:tcPr>
            <w:tcW w:w="3312" w:type="dxa"/>
            <w:tcBorders>
              <w:top w:val="single" w:sz="4" w:space="0" w:color="auto"/>
              <w:left w:val="single" w:sz="4" w:space="0" w:color="auto"/>
              <w:bottom w:val="single" w:sz="4" w:space="0" w:color="auto"/>
              <w:right w:val="single" w:sz="4" w:space="0" w:color="auto"/>
            </w:tcBorders>
            <w:vAlign w:val="center"/>
          </w:tcPr>
          <w:p>
            <w:pPr>
              <w:spacing w:after="120" w:line="276" w:lineRule="auto"/>
              <w:rPr>
                <w:rFonts w:ascii="Times New Roman" w:cs="Times New Roman" w:hAnsi="Times New Roman"/>
                <w:sz w:val="18"/>
                <w:szCs w:val="18"/>
                <w:lang w:val="es-NI"/>
              </w:rPr>
            </w:pPr>
            <w:r>
              <w:rPr>
                <w:rFonts w:ascii="Times New Roman" w:cs="Times New Roman" w:hAnsi="Times New Roman"/>
                <w:sz w:val="18"/>
                <w:szCs w:val="18"/>
                <w:lang w:val="es-NI"/>
              </w:rPr>
              <w:t>Datos de guías y rutas</w:t>
            </w:r>
          </w:p>
        </w:tc>
        <w:tc>
          <w:tcPr>
            <w:tcW w:w="3312" w:type="dxa"/>
            <w:tcBorders>
              <w:top w:val="single" w:sz="4" w:space="0" w:color="auto"/>
              <w:left w:val="single" w:sz="4" w:space="0" w:color="auto"/>
              <w:bottom w:val="single" w:sz="4" w:space="0" w:color="auto"/>
              <w:right w:val="single" w:sz="4" w:space="0" w:color="auto"/>
            </w:tcBorders>
            <w:vAlign w:val="center"/>
          </w:tcPr>
          <w:p>
            <w:pPr>
              <w:spacing w:after="120" w:line="276" w:lineRule="auto"/>
              <w:rPr>
                <w:rFonts w:ascii="Times New Roman" w:cs="Times New Roman" w:hAnsi="Times New Roman"/>
                <w:sz w:val="18"/>
                <w:szCs w:val="18"/>
              </w:rPr>
            </w:pPr>
            <w:r>
              <w:rPr>
                <w:rFonts w:ascii="Times New Roman" w:cs="Times New Roman" w:hAnsi="Times New Roman"/>
                <w:sz w:val="18"/>
                <w:szCs w:val="18"/>
              </w:rPr>
              <w:t>Interno</w:t>
            </w:r>
          </w:p>
        </w:tc>
        <w:tc>
          <w:tcPr>
            <w:tcW w:w="3312" w:type="dxa"/>
            <w:tcBorders>
              <w:top w:val="single" w:sz="4" w:space="0" w:color="auto"/>
              <w:left w:val="single" w:sz="4" w:space="0" w:color="auto"/>
              <w:bottom w:val="single" w:sz="4" w:space="0" w:color="auto"/>
              <w:right w:val="single" w:sz="4" w:space="0" w:color="auto"/>
            </w:tcBorders>
            <w:vAlign w:val="center"/>
          </w:tcPr>
          <w:p>
            <w:pPr>
              <w:spacing w:after="120" w:line="276" w:lineRule="auto"/>
              <w:rPr>
                <w:rFonts w:ascii="Times New Roman" w:cs="Times New Roman" w:hAnsi="Times New Roman"/>
                <w:sz w:val="18"/>
                <w:szCs w:val="18"/>
                <w:lang w:val="es-NI"/>
              </w:rPr>
            </w:pPr>
            <w:r>
              <w:rPr>
                <w:rFonts w:ascii="Times New Roman" w:cs="Times New Roman" w:hAnsi="Times New Roman"/>
                <w:sz w:val="18"/>
                <w:szCs w:val="18"/>
                <w:lang w:val="es-NI"/>
              </w:rPr>
              <w:t>Se utilizan para operar y analizar el proceso interno de entregas.</w:t>
            </w:r>
          </w:p>
        </w:tc>
      </w:tr>
      <w:tr>
        <w:tc>
          <w:tcPr>
            <w:tcW w:w="3312" w:type="dxa"/>
            <w:tcBorders>
              <w:top w:val="single" w:sz="4" w:space="0" w:color="auto"/>
              <w:left w:val="single" w:sz="4" w:space="0" w:color="auto"/>
              <w:bottom w:val="single" w:sz="4" w:space="0" w:color="auto"/>
              <w:right w:val="single" w:sz="4" w:space="0" w:color="auto"/>
            </w:tcBorders>
            <w:vAlign w:val="center"/>
          </w:tcPr>
          <w:p>
            <w:pPr>
              <w:spacing w:after="120" w:line="276" w:lineRule="auto"/>
              <w:rPr>
                <w:rFonts w:ascii="Times New Roman" w:cs="Times New Roman" w:hAnsi="Times New Roman"/>
                <w:sz w:val="18"/>
                <w:szCs w:val="18"/>
              </w:rPr>
            </w:pPr>
            <w:r>
              <w:rPr>
                <w:rFonts w:ascii="Times New Roman" w:cs="Times New Roman" w:hAnsi="Times New Roman"/>
                <w:sz w:val="18"/>
                <w:szCs w:val="18"/>
              </w:rPr>
              <w:t>Datos de destinatario</w:t>
            </w:r>
          </w:p>
        </w:tc>
        <w:tc>
          <w:tcPr>
            <w:tcW w:w="3312" w:type="dxa"/>
            <w:tcBorders>
              <w:top w:val="single" w:sz="4" w:space="0" w:color="auto"/>
              <w:left w:val="single" w:sz="4" w:space="0" w:color="auto"/>
              <w:bottom w:val="single" w:sz="4" w:space="0" w:color="auto"/>
              <w:right w:val="single" w:sz="4" w:space="0" w:color="auto"/>
            </w:tcBorders>
            <w:vAlign w:val="center"/>
          </w:tcPr>
          <w:p>
            <w:pPr>
              <w:spacing w:after="120" w:line="276" w:lineRule="auto"/>
              <w:rPr>
                <w:rFonts w:ascii="Times New Roman" w:cs="Times New Roman" w:hAnsi="Times New Roman"/>
                <w:sz w:val="18"/>
                <w:szCs w:val="18"/>
                <w:lang w:val="es-NI"/>
              </w:rPr>
            </w:pPr>
            <w:r>
              <w:rPr>
                <w:rFonts w:ascii="Times New Roman" w:cs="Times New Roman" w:hAnsi="Times New Roman"/>
                <w:sz w:val="18"/>
                <w:szCs w:val="18"/>
                <w:lang w:val="es-NI"/>
              </w:rPr>
              <w:t>Personal / confidencial según el contenido</w:t>
            </w:r>
          </w:p>
        </w:tc>
        <w:tc>
          <w:tcPr>
            <w:tcW w:w="3312" w:type="dxa"/>
            <w:tcBorders>
              <w:top w:val="single" w:sz="4" w:space="0" w:color="auto"/>
              <w:left w:val="single" w:sz="4" w:space="0" w:color="auto"/>
              <w:bottom w:val="single" w:sz="4" w:space="0" w:color="auto"/>
              <w:right w:val="single" w:sz="4" w:space="0" w:color="auto"/>
            </w:tcBorders>
            <w:vAlign w:val="center"/>
          </w:tcPr>
          <w:p>
            <w:pPr>
              <w:spacing w:after="120" w:line="276" w:lineRule="auto"/>
              <w:rPr>
                <w:rFonts w:ascii="Times New Roman" w:cs="Times New Roman" w:hAnsi="Times New Roman"/>
                <w:sz w:val="18"/>
                <w:szCs w:val="18"/>
                <w:lang w:val="es-NI"/>
              </w:rPr>
            </w:pPr>
            <w:r>
              <w:rPr>
                <w:rFonts w:ascii="Times New Roman" w:cs="Times New Roman" w:hAnsi="Times New Roman"/>
                <w:sz w:val="18"/>
                <w:szCs w:val="18"/>
                <w:lang w:val="es-NI"/>
              </w:rPr>
              <w:t>Pueden relacionarse con una persona y deben limitarse a los usuarios que los necesiten.</w:t>
            </w:r>
          </w:p>
        </w:tc>
      </w:tr>
      <w:tr>
        <w:tc>
          <w:tcPr>
            <w:tcW w:w="3312" w:type="dxa"/>
            <w:tcBorders>
              <w:top w:val="single" w:sz="4" w:space="0" w:color="auto"/>
              <w:left w:val="single" w:sz="4" w:space="0" w:color="auto"/>
              <w:bottom w:val="single" w:sz="4" w:space="0" w:color="auto"/>
              <w:right w:val="single" w:sz="4" w:space="0" w:color="auto"/>
            </w:tcBorders>
            <w:vAlign w:val="center"/>
          </w:tcPr>
          <w:p>
            <w:pPr>
              <w:spacing w:after="120" w:line="276" w:lineRule="auto"/>
              <w:rPr>
                <w:rFonts w:ascii="Times New Roman" w:cs="Times New Roman" w:hAnsi="Times New Roman"/>
                <w:sz w:val="18"/>
                <w:szCs w:val="18"/>
              </w:rPr>
            </w:pPr>
            <w:r>
              <w:rPr>
                <w:rFonts w:ascii="Times New Roman" w:cs="Times New Roman" w:hAnsi="Times New Roman"/>
                <w:sz w:val="18"/>
                <w:szCs w:val="18"/>
              </w:rPr>
              <w:t>Resultados SLA e indicadores</w:t>
            </w:r>
          </w:p>
        </w:tc>
        <w:tc>
          <w:tcPr>
            <w:tcW w:w="3312" w:type="dxa"/>
            <w:tcBorders>
              <w:top w:val="single" w:sz="4" w:space="0" w:color="auto"/>
              <w:left w:val="single" w:sz="4" w:space="0" w:color="auto"/>
              <w:bottom w:val="single" w:sz="4" w:space="0" w:color="auto"/>
              <w:right w:val="single" w:sz="4" w:space="0" w:color="auto"/>
            </w:tcBorders>
            <w:vAlign w:val="center"/>
          </w:tcPr>
          <w:p>
            <w:pPr>
              <w:spacing w:after="120" w:line="276" w:lineRule="auto"/>
              <w:rPr>
                <w:rFonts w:ascii="Times New Roman" w:cs="Times New Roman" w:hAnsi="Times New Roman"/>
                <w:sz w:val="18"/>
                <w:szCs w:val="18"/>
              </w:rPr>
            </w:pPr>
            <w:r>
              <w:rPr>
                <w:rFonts w:ascii="Times New Roman" w:cs="Times New Roman" w:hAnsi="Times New Roman"/>
                <w:sz w:val="18"/>
                <w:szCs w:val="18"/>
              </w:rPr>
              <w:t>Interno</w:t>
            </w:r>
          </w:p>
        </w:tc>
        <w:tc>
          <w:tcPr>
            <w:tcW w:w="3312" w:type="dxa"/>
            <w:tcBorders>
              <w:top w:val="single" w:sz="4" w:space="0" w:color="auto"/>
              <w:left w:val="single" w:sz="4" w:space="0" w:color="auto"/>
              <w:bottom w:val="single" w:sz="4" w:space="0" w:color="auto"/>
              <w:right w:val="single" w:sz="4" w:space="0" w:color="auto"/>
            </w:tcBorders>
            <w:vAlign w:val="center"/>
          </w:tcPr>
          <w:p>
            <w:pPr>
              <w:spacing w:after="120" w:line="276" w:lineRule="auto"/>
              <w:rPr>
                <w:rFonts w:ascii="Times New Roman" w:cs="Times New Roman" w:hAnsi="Times New Roman"/>
                <w:sz w:val="18"/>
                <w:szCs w:val="18"/>
                <w:lang w:val="es-NI"/>
              </w:rPr>
            </w:pPr>
            <w:r>
              <w:rPr>
                <w:rFonts w:ascii="Times New Roman" w:cs="Times New Roman" w:hAnsi="Times New Roman"/>
                <w:sz w:val="18"/>
                <w:szCs w:val="18"/>
                <w:lang w:val="es-NI"/>
              </w:rPr>
              <w:t>Se utilizan para seguimiento operativo y toma de decisiones.</w:t>
            </w:r>
          </w:p>
        </w:tc>
      </w:tr>
      <w:tr>
        <w:tc>
          <w:tcPr>
            <w:tcW w:w="3312" w:type="dxa"/>
            <w:tcBorders>
              <w:top w:val="single" w:sz="4" w:space="0" w:color="auto"/>
              <w:left w:val="single" w:sz="4" w:space="0" w:color="auto"/>
              <w:bottom w:val="single" w:sz="4" w:space="0" w:color="auto"/>
              <w:right w:val="single" w:sz="4" w:space="0" w:color="auto"/>
            </w:tcBorders>
            <w:vAlign w:val="center"/>
          </w:tcPr>
          <w:p>
            <w:pPr>
              <w:spacing w:after="120" w:line="276" w:lineRule="auto"/>
              <w:rPr>
                <w:rFonts w:ascii="Times New Roman" w:cs="Times New Roman" w:hAnsi="Times New Roman"/>
                <w:sz w:val="18"/>
                <w:szCs w:val="18"/>
                <w:lang w:val="es-NI"/>
              </w:rPr>
            </w:pPr>
            <w:r>
              <w:rPr>
                <w:rFonts w:ascii="Times New Roman" w:cs="Times New Roman" w:hAnsi="Times New Roman"/>
                <w:sz w:val="18"/>
                <w:szCs w:val="18"/>
                <w:lang w:val="es-NI"/>
              </w:rPr>
              <w:t>Datos de usuarios y accesos</w:t>
            </w:r>
          </w:p>
        </w:tc>
        <w:tc>
          <w:tcPr>
            <w:tcW w:w="3312" w:type="dxa"/>
            <w:tcBorders>
              <w:top w:val="single" w:sz="4" w:space="0" w:color="auto"/>
              <w:left w:val="single" w:sz="4" w:space="0" w:color="auto"/>
              <w:bottom w:val="single" w:sz="4" w:space="0" w:color="auto"/>
              <w:right w:val="single" w:sz="4" w:space="0" w:color="auto"/>
            </w:tcBorders>
            <w:vAlign w:val="center"/>
          </w:tcPr>
          <w:p>
            <w:pPr>
              <w:spacing w:after="120" w:line="276" w:lineRule="auto"/>
              <w:rPr>
                <w:rFonts w:ascii="Times New Roman" w:cs="Times New Roman" w:hAnsi="Times New Roman"/>
                <w:sz w:val="18"/>
                <w:szCs w:val="18"/>
              </w:rPr>
            </w:pPr>
            <w:r>
              <w:rPr>
                <w:rFonts w:ascii="Times New Roman" w:cs="Times New Roman" w:hAnsi="Times New Roman"/>
                <w:sz w:val="18"/>
                <w:szCs w:val="18"/>
              </w:rPr>
              <w:t>Confidencial</w:t>
            </w:r>
          </w:p>
        </w:tc>
        <w:tc>
          <w:tcPr>
            <w:tcW w:w="3312" w:type="dxa"/>
            <w:tcBorders>
              <w:top w:val="single" w:sz="4" w:space="0" w:color="auto"/>
              <w:left w:val="single" w:sz="4" w:space="0" w:color="auto"/>
              <w:bottom w:val="single" w:sz="4" w:space="0" w:color="auto"/>
              <w:right w:val="single" w:sz="4" w:space="0" w:color="auto"/>
            </w:tcBorders>
            <w:vAlign w:val="center"/>
          </w:tcPr>
          <w:p>
            <w:pPr>
              <w:spacing w:after="120" w:line="276" w:lineRule="auto"/>
              <w:rPr>
                <w:rFonts w:ascii="Times New Roman" w:cs="Times New Roman" w:hAnsi="Times New Roman"/>
                <w:sz w:val="18"/>
                <w:szCs w:val="18"/>
                <w:lang w:val="es-NI"/>
              </w:rPr>
            </w:pPr>
            <w:r>
              <w:rPr>
                <w:rFonts w:ascii="Times New Roman" w:cs="Times New Roman" w:hAnsi="Times New Roman"/>
                <w:sz w:val="18"/>
                <w:szCs w:val="18"/>
                <w:lang w:val="es-NI"/>
              </w:rPr>
              <w:t>Se relacionan con control de acceso y seguridad del sistema.</w:t>
            </w:r>
          </w:p>
        </w:tc>
      </w:tr>
      <w:tr>
        <w:tc>
          <w:tcPr>
            <w:tcW w:w="3312" w:type="dxa"/>
            <w:tcBorders>
              <w:top w:val="single" w:sz="4" w:space="0" w:color="auto"/>
              <w:left w:val="single" w:sz="4" w:space="0" w:color="auto"/>
              <w:bottom w:val="single" w:sz="4" w:space="0" w:color="auto"/>
              <w:right w:val="single" w:sz="4" w:space="0" w:color="auto"/>
            </w:tcBorders>
            <w:vAlign w:val="center"/>
          </w:tcPr>
          <w:p>
            <w:pPr>
              <w:spacing w:after="120" w:line="276" w:lineRule="auto"/>
              <w:rPr>
                <w:rFonts w:ascii="Times New Roman" w:cs="Times New Roman" w:hAnsi="Times New Roman"/>
                <w:sz w:val="18"/>
                <w:szCs w:val="18"/>
              </w:rPr>
            </w:pPr>
            <w:r>
              <w:rPr>
                <w:rFonts w:ascii="Times New Roman" w:cs="Times New Roman" w:hAnsi="Times New Roman"/>
                <w:sz w:val="18"/>
                <w:szCs w:val="18"/>
              </w:rPr>
              <w:t>Datos agregados para indicadores</w:t>
            </w:r>
          </w:p>
        </w:tc>
        <w:tc>
          <w:tcPr>
            <w:tcW w:w="3312" w:type="dxa"/>
            <w:tcBorders>
              <w:top w:val="single" w:sz="4" w:space="0" w:color="auto"/>
              <w:left w:val="single" w:sz="4" w:space="0" w:color="auto"/>
              <w:bottom w:val="single" w:sz="4" w:space="0" w:color="auto"/>
              <w:right w:val="single" w:sz="4" w:space="0" w:color="auto"/>
            </w:tcBorders>
            <w:vAlign w:val="center"/>
          </w:tcPr>
          <w:p>
            <w:pPr>
              <w:spacing w:after="120" w:line="276" w:lineRule="auto"/>
              <w:rPr>
                <w:rFonts w:ascii="Times New Roman" w:cs="Times New Roman" w:hAnsi="Times New Roman"/>
                <w:sz w:val="18"/>
                <w:szCs w:val="18"/>
              </w:rPr>
            </w:pPr>
            <w:r>
              <w:rPr>
                <w:rFonts w:ascii="Times New Roman" w:cs="Times New Roman" w:hAnsi="Times New Roman"/>
                <w:sz w:val="18"/>
                <w:szCs w:val="18"/>
              </w:rPr>
              <w:t>Interno</w:t>
            </w:r>
          </w:p>
        </w:tc>
        <w:tc>
          <w:tcPr>
            <w:tcW w:w="3312" w:type="dxa"/>
            <w:tcBorders>
              <w:top w:val="single" w:sz="4" w:space="0" w:color="auto"/>
              <w:left w:val="single" w:sz="4" w:space="0" w:color="auto"/>
              <w:bottom w:val="single" w:sz="4" w:space="0" w:color="auto"/>
              <w:right w:val="single" w:sz="4" w:space="0" w:color="auto"/>
            </w:tcBorders>
            <w:vAlign w:val="center"/>
          </w:tcPr>
          <w:p>
            <w:pPr>
              <w:spacing w:after="120" w:line="276" w:lineRule="auto"/>
              <w:rPr>
                <w:rFonts w:ascii="Times New Roman" w:cs="Times New Roman" w:hAnsi="Times New Roman"/>
                <w:sz w:val="18"/>
                <w:szCs w:val="18"/>
                <w:lang w:val="es-NI"/>
              </w:rPr>
            </w:pPr>
            <w:r>
              <w:rPr>
                <w:rFonts w:ascii="Times New Roman" w:cs="Times New Roman" w:hAnsi="Times New Roman"/>
                <w:sz w:val="18"/>
                <w:szCs w:val="18"/>
                <w:lang w:val="es-NI"/>
              </w:rPr>
              <w:t>Representan resultados del proceso y no requieren exposición pública por defecto.</w:t>
            </w:r>
          </w:p>
        </w:tc>
      </w:tr>
    </w:tbl>
    <w:p>
      <w:pPr>
        <w:spacing w:after="120"/>
        <w:rPr>
          <w:rFonts w:ascii="Times New Roman" w:cs="Times New Roman" w:hAnsi="Times New Roman"/>
          <w:lang w:val="es-ES"/>
        </w:rPr>
      </w:pPr>
    </w:p>
    <w:p>
      <w:pPr>
        <w:pStyle w:val="20"/>
        <w:numPr>
          <w:ilvl w:val="0"/>
          <w:numId w:val="1"/>
        </w:numPr>
        <w:spacing w:before="280" w:after="120"/>
        <w:rPr>
          <w:rFonts w:ascii="Times New Roman" w:cs="Times New Roman" w:hAnsi="Times New Roman"/>
          <w:lang w:val="es-ES"/>
        </w:rPr>
      </w:pPr>
      <w:r>
        <w:rPr>
          <w:rFonts w:ascii="Times New Roman" w:cs="Times New Roman" w:hAnsi="Times New Roman"/>
          <w:b/>
          <w:sz w:val="24"/>
          <w:lang w:val="es-ES"/>
        </w:rPr>
        <w:t>Trazabilidad</w:t>
      </w:r>
    </w:p>
    <w:p>
      <w:pPr>
        <w:pStyle w:val="20"/>
        <w:spacing w:before="280" w:after="120"/>
        <w:ind w:left="360"/>
        <w:rPr>
          <w:rFonts w:ascii="Times New Roman" w:cs="Times New Roman" w:hAnsi="Times New Roman"/>
          <w:lang w:val="es-ES"/>
        </w:rPr>
      </w:pPr>
      <w:r>
        <w:rPr>
          <w:lang w:val="es-NI"/>
        </w:rPr>
        <w:t>La trazabilidad permitirá seguir el recorrido de la información desde la generación de la guía hasta el resultado utilizado para la toma de decisiones</w:t>
      </w:r>
    </w:p>
    <w:p>
      <w:pPr>
        <w:pStyle w:val="20"/>
        <w:spacing w:before="280" w:after="120"/>
        <w:ind w:left="360"/>
        <w:rPr>
          <w:lang w:val="es-NI"/>
        </w:rPr>
      </w:pPr>
    </w:p>
    <w:p>
      <w:pPr>
        <w:pStyle w:val="20"/>
        <w:spacing w:before="280" w:after="120"/>
        <w:ind w:left="360"/>
        <w:rPr>
          <w:rFonts w:ascii="Times New Roman" w:cs="Times New Roman" w:hAnsi="Times New Roman"/>
          <w:lang w:val="es-ES"/>
        </w:rPr>
      </w:pPr>
      <w:r>
        <w:rPr>
          <w:lang w:val="es-NI"/>
        </w:rPr>
        <w:drawing>
          <wp:inline distT="0" distB="0" distL="0" distR="0">
            <wp:extent cx="5943600" cy="2953424"/>
            <wp:effectExtent l="0" t="0" r="0" b="0"/>
            <wp:docPr id="13" name="Imágenes 13"/>
            <wp:cNvGraphicFramePr>
              <a:graphicFrameLocks noChangeAspect="1"/>
            </wp:cNvGraphicFramePr>
            <a:graphic>
              <a:graphicData uri="http://schemas.openxmlformats.org/drawingml/2006/picture">
                <pic:pic>
                  <pic:nvPicPr>
                    <pic:cNvPr id="15" name="Imágenes 15"/>
                    <pic:cNvPicPr/>
                  </pic:nvPicPr>
                  <pic:blipFill>
                    <a:blip r:embed="rId6"/>
                    <a:stretch>
                      <a:fillRect/>
                    </a:stretch>
                  </pic:blipFill>
                  <pic:spPr>
                    <a:xfrm rot="0">
                      <a:off x="0" y="0"/>
                      <a:ext cx="5943600" cy="2953424"/>
                    </a:xfrm>
                    <a:prstGeom prst="rect"/>
                    <a:noFill/>
                    <a:ln w="12700" cmpd="sng" cap="flat">
                      <a:noFill/>
                      <a:prstDash val="solid"/>
                      <a:miter/>
                    </a:ln>
                  </pic:spPr>
                </pic:pic>
              </a:graphicData>
            </a:graphic>
          </wp:inline>
        </w:drawing>
      </w:r>
    </w:p>
    <w:p>
      <w:pPr>
        <w:pStyle w:val="20"/>
        <w:spacing w:before="280" w:after="120"/>
        <w:ind w:left="360"/>
        <w:rPr>
          <w:rFonts w:ascii="Times New Roman" w:cs="Times New Roman" w:hAnsi="Times New Roman"/>
          <w:lang w:val="es-ES"/>
        </w:rPr>
      </w:pPr>
    </w:p>
    <w:p>
      <w:pPr>
        <w:pStyle w:val="20"/>
        <w:spacing w:before="280" w:after="120"/>
        <w:ind w:left="360"/>
        <w:rPr>
          <w:rFonts w:ascii="Times New Roman" w:cs="Times New Roman" w:hAnsi="Times New Roman"/>
          <w:lang w:val="es-ES"/>
        </w:rPr>
      </w:pPr>
    </w:p>
    <w:p>
      <w:pPr>
        <w:pStyle w:val="20"/>
        <w:spacing w:before="280" w:after="120"/>
        <w:ind w:left="360"/>
        <w:rPr>
          <w:rFonts w:ascii="Times New Roman" w:cs="Times New Roman" w:hAnsi="Times New Roman"/>
          <w:lang w:val="es-ES"/>
        </w:rPr>
      </w:pPr>
    </w:p>
    <w:p>
      <w:pPr>
        <w:pStyle w:val="20"/>
        <w:spacing w:before="280" w:after="120"/>
        <w:ind w:left="360"/>
        <w:rPr>
          <w:rFonts w:ascii="Times New Roman" w:cs="Times New Roman" w:hAnsi="Times New Roman"/>
          <w:lang w:val="es-ES"/>
        </w:rPr>
      </w:pPr>
    </w:p>
    <w:p>
      <w:pPr>
        <w:spacing w:before="280" w:after="120"/>
        <w:rPr>
          <w:rFonts w:ascii="Times New Roman" w:cs="Times New Roman" w:hAnsi="Times New Roman"/>
          <w:lang w:val="es-ES"/>
        </w:rPr>
      </w:pPr>
    </w:p>
    <w:p>
      <w:pPr>
        <w:spacing w:before="280" w:after="120"/>
        <w:rPr>
          <w:rFonts w:ascii="Times New Roman" w:cs="Times New Roman" w:hAnsi="Times New Roman"/>
          <w:lang w:val="es-ES"/>
        </w:rPr>
      </w:pPr>
    </w:p>
    <w:p>
      <w:pPr>
        <w:spacing w:before="280" w:after="120"/>
        <w:rPr>
          <w:rFonts w:ascii="Times New Roman" w:cs="Times New Roman" w:hAnsi="Times New Roman"/>
          <w:lang w:val="es-ES"/>
        </w:rPr>
      </w:pPr>
    </w:p>
    <w:p>
      <w:pPr>
        <w:spacing w:before="280" w:after="120"/>
        <w:rPr>
          <w:rFonts w:ascii="Times New Roman" w:cs="Times New Roman" w:hAnsi="Times New Roman"/>
          <w:lang w:val="es-ES"/>
        </w:rPr>
      </w:pPr>
    </w:p>
    <w:p>
      <w:pPr>
        <w:spacing w:before="280" w:after="120"/>
        <w:rPr>
          <w:rFonts w:ascii="Times New Roman" w:cs="Times New Roman" w:hAnsi="Times New Roman"/>
          <w:lang w:val="es-ES"/>
        </w:rPr>
      </w:pPr>
    </w:p>
    <w:p>
      <w:pPr>
        <w:spacing w:before="280" w:after="120"/>
        <w:rPr>
          <w:rFonts w:ascii="Times New Roman" w:cs="Times New Roman" w:hAnsi="Times New Roman"/>
          <w:lang w:val="es-ES"/>
        </w:rPr>
      </w:pPr>
    </w:p>
    <w:p>
      <w:pPr>
        <w:spacing w:before="280" w:after="120"/>
        <w:rPr>
          <w:rFonts w:ascii="Times New Roman" w:cs="Times New Roman" w:hAnsi="Times New Roman"/>
          <w:lang w:val="es-ES"/>
        </w:rPr>
      </w:pPr>
    </w:p>
    <w:p>
      <w:pPr>
        <w:spacing w:before="280" w:after="120"/>
        <w:rPr>
          <w:rFonts w:ascii="Times New Roman" w:cs="Times New Roman" w:hAnsi="Times New Roman"/>
          <w:lang w:val="es-ES"/>
        </w:rPr>
      </w:pPr>
    </w:p>
    <w:p>
      <w:pPr>
        <w:spacing w:before="280" w:after="120"/>
        <w:rPr>
          <w:rFonts w:ascii="Times New Roman" w:cs="Times New Roman" w:hAnsi="Times New Roman"/>
          <w:lang w:val="es-ES"/>
        </w:rPr>
      </w:pPr>
    </w:p>
    <w:p>
      <w:pPr>
        <w:spacing w:before="280" w:after="120"/>
        <w:rPr>
          <w:rFonts w:ascii="Times New Roman" w:cs="Times New Roman" w:hAnsi="Times New Roman"/>
          <w:lang w:val="es-ES"/>
        </w:rPr>
      </w:pPr>
    </w:p>
    <w:p>
      <w:pPr>
        <w:spacing w:before="280" w:after="120"/>
        <w:rPr>
          <w:rFonts w:ascii="Times New Roman" w:cs="Times New Roman" w:hAnsi="Times New Roman"/>
          <w:lang w:val="es-ES"/>
        </w:rPr>
      </w:pPr>
    </w:p>
    <w:p>
      <w:pPr>
        <w:pStyle w:val="20"/>
        <w:numPr>
          <w:ilvl w:val="0"/>
          <w:numId w:val="1"/>
        </w:numPr>
        <w:spacing w:before="280" w:after="120"/>
        <w:rPr>
          <w:rFonts w:ascii="Times New Roman" w:cs="Times New Roman" w:hAnsi="Times New Roman"/>
          <w:lang w:val="es-ES"/>
        </w:rPr>
      </w:pPr>
      <w:r>
        <w:rPr>
          <w:rFonts w:ascii="Times New Roman" w:cs="Times New Roman" w:hAnsi="Times New Roman"/>
          <w:b/>
          <w:sz w:val="24"/>
          <w:lang w:val="es-ES"/>
        </w:rPr>
        <w:t>Ciclo de Vida de los Datos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4685"/>
        <w:gridCol w:w="4685"/>
      </w:tblGrid>
      <w:tr>
        <w:tc>
          <w:tcPr>
            <w:tcW w:w="4968" w:type="dxa"/>
            <w:shd w:val="clear" w:color="auto" w:fill="B7D7F0"/>
            <w:vAlign w:val="center"/>
          </w:tcPr>
          <w:p>
            <w:r>
              <w:rPr>
                <w:b/>
                <w:sz w:val="18"/>
              </w:rPr>
              <w:t>Etapa</w:t>
            </w:r>
          </w:p>
        </w:tc>
        <w:tc>
          <w:tcPr>
            <w:tcW w:w="4968" w:type="dxa"/>
            <w:shd w:val="clear" w:color="auto" w:fill="B7D7F0"/>
            <w:vAlign w:val="center"/>
          </w:tcPr>
          <w:p>
            <w:r>
              <w:rPr>
                <w:b/>
                <w:sz w:val="18"/>
              </w:rPr>
              <w:t>Aplicación al caso</w:t>
            </w:r>
          </w:p>
        </w:tc>
      </w:tr>
      <w:tr>
        <w:tc>
          <w:tcPr>
            <w:tcW w:w="4968" w:type="dxa"/>
            <w:vAlign w:val="center"/>
          </w:tcPr>
          <w:p>
            <w:r>
              <w:rPr>
                <w:sz w:val="18"/>
              </w:rPr>
              <w:t>Captura</w:t>
            </w:r>
          </w:p>
        </w:tc>
        <w:tc>
          <w:tcPr>
            <w:tcW w:w="4968" w:type="dxa"/>
            <w:vAlign w:val="center"/>
          </w:tcPr>
          <w:p>
            <w:pPr>
              <w:rPr>
                <w:lang w:val="es-NI"/>
              </w:rPr>
            </w:pPr>
            <w:r>
              <w:rPr>
                <w:sz w:val="18"/>
                <w:lang w:val="es-NI"/>
              </w:rPr>
              <w:t>Registro de guía, eventos, resultado SLA y variables operativas.</w:t>
            </w:r>
          </w:p>
        </w:tc>
      </w:tr>
      <w:tr>
        <w:tc>
          <w:tcPr>
            <w:tcW w:w="4968" w:type="dxa"/>
            <w:vAlign w:val="center"/>
          </w:tcPr>
          <w:p>
            <w:r>
              <w:rPr>
                <w:sz w:val="18"/>
              </w:rPr>
              <w:t>Almacenamiento</w:t>
            </w:r>
          </w:p>
        </w:tc>
        <w:tc>
          <w:tcPr>
            <w:tcW w:w="4968" w:type="dxa"/>
            <w:vAlign w:val="center"/>
          </w:tcPr>
          <w:p>
            <w:pPr>
              <w:rPr>
                <w:lang w:val="es-NI"/>
              </w:rPr>
            </w:pPr>
            <w:r>
              <w:rPr>
                <w:sz w:val="18"/>
                <w:lang w:val="es-NI"/>
              </w:rPr>
              <w:t>Conservación en TMS, App, bases de datos y dataset correspondiente.</w:t>
            </w:r>
          </w:p>
        </w:tc>
      </w:tr>
      <w:tr>
        <w:tc>
          <w:tcPr>
            <w:tcW w:w="4968" w:type="dxa"/>
            <w:vAlign w:val="center"/>
          </w:tcPr>
          <w:p>
            <w:r>
              <w:rPr>
                <w:sz w:val="18"/>
              </w:rPr>
              <w:t>Preparación</w:t>
            </w:r>
          </w:p>
        </w:tc>
        <w:tc>
          <w:tcPr>
            <w:tcW w:w="4968" w:type="dxa"/>
            <w:vAlign w:val="center"/>
          </w:tcPr>
          <w:p>
            <w:pPr>
              <w:rPr>
                <w:lang w:val="es-NI"/>
              </w:rPr>
            </w:pPr>
            <w:r>
              <w:rPr>
                <w:sz w:val="18"/>
                <w:lang w:val="es-NI"/>
              </w:rPr>
              <w:t>Limpieza, validación, deduplicación, normalización y transformación.</w:t>
            </w:r>
          </w:p>
        </w:tc>
      </w:tr>
      <w:tr>
        <w:tc>
          <w:tcPr>
            <w:tcW w:w="4968" w:type="dxa"/>
            <w:vAlign w:val="center"/>
          </w:tcPr>
          <w:p>
            <w:r>
              <w:rPr>
                <w:sz w:val="18"/>
              </w:rPr>
              <w:t>Utilización</w:t>
            </w:r>
          </w:p>
        </w:tc>
        <w:tc>
          <w:tcPr>
            <w:tcW w:w="4968" w:type="dxa"/>
            <w:vAlign w:val="center"/>
          </w:tcPr>
          <w:p>
            <w:pPr>
              <w:rPr>
                <w:lang w:val="es-NI"/>
              </w:rPr>
            </w:pPr>
            <w:r>
              <w:rPr>
                <w:sz w:val="18"/>
                <w:lang w:val="es-NI"/>
              </w:rPr>
              <w:t>Cálculo de KPI, análisis de SLA y segmentaciones.</w:t>
            </w:r>
          </w:p>
        </w:tc>
      </w:tr>
      <w:tr>
        <w:tc>
          <w:tcPr>
            <w:tcW w:w="4968" w:type="dxa"/>
            <w:vAlign w:val="center"/>
          </w:tcPr>
          <w:p>
            <w:r>
              <w:rPr>
                <w:sz w:val="18"/>
              </w:rPr>
              <w:t>Conservación</w:t>
            </w:r>
          </w:p>
        </w:tc>
        <w:tc>
          <w:tcPr>
            <w:tcW w:w="4968" w:type="dxa"/>
            <w:vAlign w:val="center"/>
          </w:tcPr>
          <w:p>
            <w:pPr>
              <w:rPr>
                <w:lang w:val="es-NI"/>
              </w:rPr>
            </w:pPr>
            <w:r>
              <w:rPr>
                <w:sz w:val="18"/>
                <w:lang w:val="es-NI"/>
              </w:rPr>
              <w:t>Mantener los datos necesarios para seguimiento, trazabilidad y análisis.</w:t>
            </w:r>
          </w:p>
        </w:tc>
      </w:tr>
      <w:tr>
        <w:tc>
          <w:tcPr>
            <w:tcW w:w="4968" w:type="dxa"/>
            <w:vAlign w:val="center"/>
          </w:tcPr>
          <w:p>
            <w:r>
              <w:rPr>
                <w:sz w:val="18"/>
              </w:rPr>
              <w:t>Archivo/eliminación</w:t>
            </w:r>
          </w:p>
        </w:tc>
        <w:tc>
          <w:tcPr>
            <w:tcW w:w="4968" w:type="dxa"/>
            <w:vAlign w:val="center"/>
          </w:tcPr>
          <w:p>
            <w:pPr>
              <w:rPr>
                <w:lang w:val="es-NI"/>
              </w:rPr>
            </w:pPr>
            <w:r>
              <w:rPr>
                <w:sz w:val="18"/>
                <w:lang w:val="es-NI"/>
              </w:rPr>
              <w:t>Aplicar los criterios que establezca la organización para datos que ya no deban permanecer en uso operativo.</w:t>
            </w:r>
          </w:p>
        </w:tc>
      </w:tr>
    </w:tbl>
    <w:p>
      <w:pPr>
        <w:pStyle w:val="20"/>
        <w:spacing w:before="280" w:after="120"/>
        <w:ind w:left="360"/>
        <w:rPr>
          <w:rFonts w:ascii="Times New Roman" w:cs="Times New Roman" w:hAnsi="Times New Roman"/>
          <w:lang w:val="es-ES"/>
        </w:rPr>
      </w:pPr>
      <w:r>
        <w:rPr>
          <w:lang w:val="es-NI"/>
        </w:rPr>
        <w:drawing>
          <wp:anchor distT="0" distB="0" distL="114300" distR="114300" simplePos="0" relativeHeight="20" behindDoc="0" locked="0" layoutInCell="1" hidden="0" allowOverlap="1">
            <wp:simplePos x="0" y="0"/>
            <wp:positionH relativeFrom="column">
              <wp:align>left</wp:align>
            </wp:positionH>
            <wp:positionV relativeFrom="paragraph">
              <wp:align>top</wp:align>
            </wp:positionV>
            <wp:extent cx="3710539" cy="3710539"/>
            <wp:effectExtent l="0" t="0" r="0" b="0"/>
            <wp:wrapSquare wrapText="bothSides"/>
            <wp:docPr id="16" name="Imágenes 16"/>
            <wp:cNvGraphicFramePr>
              <a:graphicFrameLocks noChangeAspect="1"/>
            </wp:cNvGraphicFramePr>
            <a:graphic>
              <a:graphicData uri="http://schemas.openxmlformats.org/drawingml/2006/picture">
                <pic:pic>
                  <pic:nvPicPr>
                    <pic:cNvPr id="18" name="Imágenes 18"/>
                    <pic:cNvPicPr/>
                  </pic:nvPicPr>
                  <pic:blipFill>
                    <a:blip r:embed="rId7"/>
                    <a:stretch>
                      <a:fillRect/>
                    </a:stretch>
                  </pic:blipFill>
                  <pic:spPr>
                    <a:xfrm rot="0">
                      <a:off x="0" y="0"/>
                      <a:ext cx="3710539" cy="3710539"/>
                    </a:xfrm>
                    <a:prstGeom prst="rect"/>
                    <a:noFill/>
                    <a:ln w="12700" cmpd="sng" cap="flat">
                      <a:noFill/>
                      <a:prstDash val="solid"/>
                      <a:miter/>
                    </a:ln>
                  </pic:spPr>
                </pic:pic>
              </a:graphicData>
            </a:graphic>
          </wp:anchor>
        </w:drawing>
      </w:r>
      <w:r>
        <w:rPr>
          <w:rFonts w:ascii="Times New Roman" w:cs="Times New Roman" w:hAnsi="Times New Roman"/>
          <w:lang w:val="es-ES"/>
        </w:rPr>
        <w:br w:type="textWrapping" w:clear="all"/>
      </w:r>
    </w:p>
    <w:p>
      <w:pPr>
        <w:pStyle w:val="20"/>
        <w:spacing w:before="280" w:after="120"/>
        <w:ind w:left="360"/>
        <w:rPr>
          <w:rFonts w:ascii="Times New Roman" w:cs="Times New Roman" w:hAnsi="Times New Roman"/>
          <w:lang w:val="es-ES"/>
        </w:rPr>
      </w:pPr>
    </w:p>
    <w:p>
      <w:pPr>
        <w:pStyle w:val="20"/>
        <w:numPr>
          <w:ilvl w:val="0"/>
          <w:numId w:val="1"/>
        </w:numPr>
        <w:spacing w:before="280" w:after="120"/>
        <w:rPr>
          <w:rFonts w:ascii="Times New Roman" w:cs="Times New Roman" w:hAnsi="Times New Roman"/>
          <w:lang w:val="es-ES"/>
        </w:rPr>
      </w:pPr>
      <w:r>
        <w:rPr>
          <w:rFonts w:ascii="Times New Roman" w:cs="Times New Roman" w:hAnsi="Times New Roman"/>
          <w:b/>
          <w:sz w:val="24"/>
          <w:lang w:val="es-ES"/>
        </w:rPr>
        <w:t>Seguridad, Privacidad y Acceso</w:t>
      </w:r>
    </w:p>
    <w:p>
      <w:pPr>
        <w:spacing w:after="120"/>
        <w:rPr>
          <w:rFonts w:ascii="Times New Roman" w:cs="Times New Roman" w:hAnsi="Times New Roman"/>
          <w:lang w:val="es-ES"/>
        </w:rPr>
      </w:pPr>
      <w:r>
        <w:rPr>
          <w:rFonts w:ascii="Times New Roman" w:cs="Times New Roman" w:hAnsi="Times New Roman"/>
          <w:sz w:val="20"/>
          <w:lang w:val="es-ES"/>
        </w:rPr>
        <w:t>El Marco V2 establece una matriz técnica y legal estricta de seguridad, privacidad y control de acceso (POL-SEC-04), configurada de acuerdo con las necesidades de RápidoPacífico Logística:</w:t>
      </w:r>
    </w:p>
    <w:p>
      <w:pPr>
        <w:pStyle w:val="20"/>
        <w:numPr>
          <w:ilvl w:val="1"/>
          <w:numId w:val="1"/>
        </w:numPr>
        <w:spacing w:before="200" w:after="80"/>
        <w:rPr>
          <w:rFonts w:ascii="Times New Roman" w:cs="Times New Roman" w:hAnsi="Times New Roman"/>
          <w:lang w:val="es-ES"/>
        </w:rPr>
      </w:pPr>
      <w:r>
        <w:rPr>
          <w:rFonts w:ascii="Times New Roman" w:cs="Times New Roman" w:hAnsi="Times New Roman"/>
          <w:b/>
          <w:lang w:val="es-ES"/>
        </w:rPr>
        <w:t>Matriz de Privacidad y Control de Acceso basado en Roles (RBAC)</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72"/>
        <w:gridCol w:w="1872"/>
        <w:gridCol w:w="1872"/>
        <w:gridCol w:w="1872"/>
        <w:gridCol w:w="1872"/>
      </w:tblGrid>
      <w:tr>
        <w:tc>
          <w:tcPr>
            <w:tcW w:w="1872"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6"/>
              </w:rPr>
              <w:t>Rol Organizacional</w:t>
            </w:r>
          </w:p>
        </w:tc>
        <w:tc>
          <w:tcPr>
            <w:tcW w:w="1872"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6"/>
              </w:rPr>
              <w:t>Quién puede acceder</w:t>
            </w:r>
          </w:p>
        </w:tc>
        <w:tc>
          <w:tcPr>
            <w:tcW w:w="1872"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6"/>
              </w:rPr>
              <w:t>Qué datos puede consultar</w:t>
            </w:r>
          </w:p>
        </w:tc>
        <w:tc>
          <w:tcPr>
            <w:tcW w:w="1872"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6"/>
              </w:rPr>
              <w:t>Qué datos puede modificar</w:t>
            </w:r>
          </w:p>
        </w:tc>
        <w:tc>
          <w:tcPr>
            <w:tcW w:w="1872" w:type="dxa"/>
            <w:shd w:val="clear" w:color="auto" w:fill="1A365D"/>
            <w:tcMar>
              <w:top w:w="100" w:type="dxa"/>
              <w:left w:w="150" w:type="dxa"/>
              <w:bottom w:w="100" w:type="dxa"/>
              <w:right w:w="150" w:type="dxa"/>
            </w:tcMar>
          </w:tcPr>
          <w:p>
            <w:pPr>
              <w:jc w:val="center"/>
              <w:rPr>
                <w:rFonts w:ascii="Times New Roman" w:cs="Times New Roman" w:hAnsi="Times New Roman"/>
                <w:lang w:val="es-ES"/>
              </w:rPr>
            </w:pPr>
            <w:r>
              <w:rPr>
                <w:rFonts w:ascii="Times New Roman" w:cs="Times New Roman" w:hAnsi="Times New Roman"/>
                <w:b/>
                <w:color w:val="FFFFFF"/>
                <w:sz w:val="16"/>
                <w:lang w:val="es-ES"/>
              </w:rPr>
              <w:t>Controles de Acceso y Medidas de Seguridad</w:t>
            </w:r>
          </w:p>
        </w:tc>
      </w:tr>
      <w:tr>
        <w:tc>
          <w:tcPr>
            <w:tcW w:w="1872" w:type="dxa"/>
            <w:shd w:val="clear" w:color="auto" w:fill="F7FAFC"/>
            <w:tcMar>
              <w:top w:w="100" w:type="dxa"/>
              <w:left w:w="150" w:type="dxa"/>
              <w:bottom w:w="100" w:type="dxa"/>
              <w:right w:w="150" w:type="dxa"/>
            </w:tcMar>
          </w:tcPr>
          <w:p>
            <w:pPr>
              <w:rPr>
                <w:rFonts w:ascii="Times New Roman" w:cs="Times New Roman" w:hAnsi="Times New Roman"/>
                <w:sz w:val="16"/>
                <w:szCs w:val="16"/>
              </w:rPr>
            </w:pPr>
            <w:r>
              <w:rPr>
                <w:rFonts w:ascii="Times New Roman" w:cs="Times New Roman" w:hAnsi="Times New Roman"/>
                <w:sz w:val="16"/>
                <w:szCs w:val="16"/>
              </w:rPr>
              <w:t>Coordinador Logístico (Data Owner)</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6"/>
                <w:szCs w:val="16"/>
              </w:rPr>
            </w:pPr>
            <w:r>
              <w:rPr>
                <w:rFonts w:ascii="Times New Roman" w:cs="Times New Roman" w:hAnsi="Times New Roman"/>
                <w:sz w:val="16"/>
                <w:szCs w:val="16"/>
              </w:rPr>
              <w:t>Acceso Total Autorizado</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Todos los activos de datos transaccionales, métricas SLA, ubicación y reportes.</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Aprobación de listas maestras y parámetros SLA.</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Autenticación de doble factor (2FA) y encriptación TLS 1.3.</w:t>
            </w:r>
          </w:p>
        </w:tc>
      </w:tr>
      <w:tr>
        <w:tc>
          <w:tcPr>
            <w:tcW w:w="1872" w:type="dxa"/>
            <w:shd w:val="clear" w:color="auto" w:fill="FFFFFF"/>
            <w:tcMar>
              <w:top w:w="100" w:type="dxa"/>
              <w:left w:w="150" w:type="dxa"/>
              <w:bottom w:w="100" w:type="dxa"/>
              <w:right w:w="150" w:type="dxa"/>
            </w:tcMar>
          </w:tcPr>
          <w:p>
            <w:pPr>
              <w:rPr>
                <w:rFonts w:ascii="Times New Roman" w:cs="Times New Roman" w:hAnsi="Times New Roman"/>
                <w:sz w:val="16"/>
                <w:szCs w:val="16"/>
              </w:rPr>
            </w:pPr>
            <w:r>
              <w:rPr>
                <w:rFonts w:ascii="Times New Roman" w:cs="Times New Roman" w:hAnsi="Times New Roman"/>
                <w:sz w:val="16"/>
                <w:szCs w:val="16"/>
              </w:rPr>
              <w:t>Supervisor Logístico (Data Steward)</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6"/>
                <w:szCs w:val="16"/>
              </w:rPr>
            </w:pPr>
            <w:r>
              <w:rPr>
                <w:rFonts w:ascii="Times New Roman" w:cs="Times New Roman" w:hAnsi="Times New Roman"/>
                <w:sz w:val="16"/>
                <w:szCs w:val="16"/>
              </w:rPr>
              <w:t>Acceso Operativo de Zona</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Guías, franjas horarias, tipo de servicio, zonas de destino y retrasos de carga.</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Corrección de etiquetas categóricas erróneas e imputaciones.</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Acceso por credenciales nominativas y log de auditoría.</w:t>
            </w:r>
          </w:p>
        </w:tc>
      </w:tr>
      <w:tr>
        <w:tc>
          <w:tcPr>
            <w:tcW w:w="1872" w:type="dxa"/>
            <w:shd w:val="clear" w:color="auto" w:fill="F7FAFC"/>
            <w:tcMar>
              <w:top w:w="100" w:type="dxa"/>
              <w:left w:w="150" w:type="dxa"/>
              <w:bottom w:w="100" w:type="dxa"/>
              <w:right w:w="150" w:type="dxa"/>
            </w:tcMar>
          </w:tcPr>
          <w:p>
            <w:pPr>
              <w:rPr>
                <w:rFonts w:ascii="Times New Roman" w:cs="Times New Roman" w:hAnsi="Times New Roman"/>
                <w:sz w:val="16"/>
                <w:szCs w:val="16"/>
              </w:rPr>
            </w:pPr>
            <w:r>
              <w:rPr>
                <w:rFonts w:ascii="Times New Roman" w:cs="Times New Roman" w:hAnsi="Times New Roman"/>
                <w:sz w:val="16"/>
                <w:szCs w:val="16"/>
              </w:rPr>
              <w:t>Admin TMS / TI (Data Custodian)</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6"/>
                <w:szCs w:val="16"/>
              </w:rPr>
            </w:pPr>
            <w:r>
              <w:rPr>
                <w:rFonts w:ascii="Times New Roman" w:cs="Times New Roman" w:hAnsi="Times New Roman"/>
                <w:sz w:val="16"/>
                <w:szCs w:val="16"/>
              </w:rPr>
              <w:t>Acceso Técnico a Servidor</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Tablas SQL nativas, bases de datos, campos de auditoría y registros del sistema.</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Estructura de tablas, scripts ETL, permisos y tablas maestras.</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Control de acceso a base de datos (DBA) y encriptación en reposo (AES-256).</w:t>
            </w:r>
          </w:p>
        </w:tc>
      </w:tr>
      <w:tr>
        <w:tc>
          <w:tcPr>
            <w:tcW w:w="1872" w:type="dxa"/>
            <w:shd w:val="clear" w:color="auto" w:fill="FFFFFF"/>
            <w:tcMar>
              <w:top w:w="100" w:type="dxa"/>
              <w:left w:w="150" w:type="dxa"/>
              <w:bottom w:w="100" w:type="dxa"/>
              <w:right w:w="150" w:type="dxa"/>
            </w:tcMar>
          </w:tcPr>
          <w:p>
            <w:pPr>
              <w:rPr>
                <w:rFonts w:ascii="Times New Roman" w:cs="Times New Roman" w:hAnsi="Times New Roman"/>
                <w:sz w:val="16"/>
                <w:szCs w:val="16"/>
              </w:rPr>
            </w:pPr>
            <w:r>
              <w:rPr>
                <w:rFonts w:ascii="Times New Roman" w:cs="Times New Roman" w:hAnsi="Times New Roman"/>
                <w:sz w:val="16"/>
                <w:szCs w:val="16"/>
              </w:rPr>
              <w:t>Gerente de Operaciones (Consumidor)</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6"/>
                <w:szCs w:val="16"/>
              </w:rPr>
            </w:pPr>
            <w:r>
              <w:rPr>
                <w:rFonts w:ascii="Times New Roman" w:cs="Times New Roman" w:hAnsi="Times New Roman"/>
                <w:sz w:val="16"/>
                <w:szCs w:val="16"/>
              </w:rPr>
              <w:t>Acceso Analítico Consolidado</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Dataset v1 gobernado, dashboards en Power BI, reglas del modelo CART.</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Ninguno (Acceso de solo lectura / Read-Only).</w:t>
            </w:r>
          </w:p>
        </w:tc>
        <w:tc>
          <w:tcPr>
            <w:tcW w:w="1872" w:type="dxa"/>
            <w:shd w:val="clear" w:color="auto" w:fill="FFFFFF"/>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Tokens de sesión expirable e IP corporativa restringida.</w:t>
            </w:r>
          </w:p>
        </w:tc>
      </w:tr>
      <w:tr>
        <w:tc>
          <w:tcPr>
            <w:tcW w:w="1872" w:type="dxa"/>
            <w:shd w:val="clear" w:color="auto" w:fill="F7FAFC"/>
            <w:tcMar>
              <w:top w:w="100" w:type="dxa"/>
              <w:left w:w="150" w:type="dxa"/>
              <w:bottom w:w="100" w:type="dxa"/>
              <w:right w:w="150" w:type="dxa"/>
            </w:tcMar>
          </w:tcPr>
          <w:p>
            <w:pPr>
              <w:rPr>
                <w:rFonts w:ascii="Times New Roman" w:cs="Times New Roman" w:hAnsi="Times New Roman"/>
                <w:sz w:val="16"/>
                <w:szCs w:val="16"/>
              </w:rPr>
            </w:pPr>
            <w:r>
              <w:rPr>
                <w:rFonts w:ascii="Times New Roman" w:cs="Times New Roman" w:hAnsi="Times New Roman"/>
                <w:sz w:val="16"/>
                <w:szCs w:val="16"/>
              </w:rPr>
              <w:t>Conductores y Repartidores (Capturadores)</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6"/>
                <w:szCs w:val="16"/>
              </w:rPr>
            </w:pPr>
            <w:r>
              <w:rPr>
                <w:rFonts w:ascii="Times New Roman" w:cs="Times New Roman" w:hAnsi="Times New Roman"/>
                <w:sz w:val="16"/>
                <w:szCs w:val="16"/>
              </w:rPr>
              <w:t>Acceso Móvil Limitado</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Únicamente las guías asignadas a su itinerario de ruta activo.</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Estatus de entrega binario, intentos de entrega y franja horaria.</w:t>
            </w:r>
          </w:p>
        </w:tc>
        <w:tc>
          <w:tcPr>
            <w:tcW w:w="1872" w:type="dxa"/>
            <w:shd w:val="clear" w:color="auto" w:fill="F7FAFC"/>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Validación de dispositivo IMEI autorizado y contraseña de App.</w:t>
            </w:r>
          </w:p>
        </w:tc>
      </w:tr>
    </w:tbl>
    <w:p>
      <w:pPr>
        <w:spacing w:before="280" w:after="120"/>
        <w:rPr>
          <w:rFonts w:ascii="Times New Roman" w:cs="Times New Roman" w:hAnsi="Times New Roman"/>
          <w:lang w:val="es-ES"/>
        </w:rPr>
      </w:pPr>
      <w:r>
        <w:rPr>
          <w:rFonts w:ascii="Times New Roman" w:cs="Times New Roman" w:hAnsi="Times New Roman"/>
          <w:b/>
          <w:sz w:val="24"/>
          <w:lang w:val="es-ES"/>
        </w:rPr>
        <w:t>17. Integración con Minería de Datos</w:t>
      </w:r>
    </w:p>
    <w:p>
      <w:pPr>
        <w:spacing w:after="120"/>
        <w:rPr>
          <w:rFonts w:ascii="Times New Roman" w:cs="Times New Roman" w:hAnsi="Times New Roman"/>
          <w:lang w:val="es-ES"/>
        </w:rPr>
      </w:pPr>
      <w:r>
        <w:rPr>
          <w:rFonts w:ascii="Times New Roman" w:cs="Times New Roman" w:hAnsi="Times New Roman"/>
          <w:sz w:val="20"/>
          <w:lang w:val="es-ES"/>
        </w:rPr>
        <w:t>Se explica detalladamente cómo las intervenciones de Gobierno de Datos respaldan cada etapa del proceso analítico de Minería de Datos (Árbol CART):</w:t>
      </w:r>
    </w:p>
    <w:p>
      <w:pPr>
        <w:spacing w:after="120"/>
        <w:rPr>
          <w:rFonts w:ascii="Times New Roman" w:cs="Times New Roman" w:hAnsi="Times New Roman"/>
          <w:lang w:val="es-ES"/>
        </w:rPr>
      </w:pPr>
      <w:r>
        <w:rPr>
          <w:rFonts w:ascii="Times New Roman" w:cs="Times New Roman" w:hAnsi="Times New Roman"/>
          <w:sz w:val="20"/>
          <w:lang w:val="es-ES"/>
        </w:rPr>
        <w:t>1. Problema Organizacional: RápidoPacífico Logística registra un 42.66% de incumplimiento en las entregas dentro de SLA, concentrado en Carazo (60% de fallas) y franjas AM/Nocturna.</w:t>
      </w:r>
    </w:p>
    <w:p>
      <w:pPr>
        <w:spacing w:after="120"/>
        <w:rPr>
          <w:rFonts w:ascii="Times New Roman" w:cs="Times New Roman" w:hAnsi="Times New Roman"/>
          <w:lang w:val="es-ES"/>
        </w:rPr>
      </w:pPr>
      <w:r>
        <w:rPr>
          <w:rFonts w:ascii="Times New Roman" w:cs="Times New Roman" w:hAnsi="Times New Roman"/>
          <w:sz w:val="20"/>
          <w:lang w:val="es-ES"/>
        </w:rPr>
        <w:t>2. Objetivo del Análisis: Entrenar un modelo de Árbol de Decisión supervisado (CART) para predecir la probabilidad de fallo de entrega e identificar reglas de corte sobre paradas_ruta, distancia_km y franja horaria.</w:t>
      </w:r>
    </w:p>
    <w:p>
      <w:pPr>
        <w:spacing w:after="120"/>
        <w:rPr>
          <w:rFonts w:ascii="Times New Roman" w:cs="Times New Roman" w:hAnsi="Times New Roman"/>
          <w:lang w:val="es-ES"/>
        </w:rPr>
      </w:pPr>
      <w:r>
        <w:rPr>
          <w:rFonts w:ascii="Times New Roman" w:cs="Times New Roman" w:hAnsi="Times New Roman"/>
          <w:sz w:val="20"/>
          <w:lang w:val="es-ES"/>
        </w:rPr>
        <w:t>3. Datos Requeridos: Las 15 variables operacionales del archivo original V0 integradas desde 4 sistemas independientes (TMS, App Repartidor, GPS y Atención).</w:t>
      </w:r>
    </w:p>
    <w:p>
      <w:pPr>
        <w:spacing w:after="120"/>
        <w:rPr>
          <w:rFonts w:ascii="Times New Roman" w:cs="Times New Roman" w:hAnsi="Times New Roman"/>
          <w:lang w:val="es-ES"/>
        </w:rPr>
      </w:pPr>
      <w:r>
        <w:rPr>
          <w:rFonts w:ascii="Times New Roman" w:cs="Times New Roman" w:hAnsi="Times New Roman"/>
          <w:sz w:val="20"/>
          <w:lang w:val="es-ES"/>
        </w:rPr>
        <w:t>4. Preparación y Calidad (Intervención de Gobierno):</w:t>
      </w:r>
    </w:p>
    <w:p>
      <w:pPr>
        <w:pStyle w:val="20"/>
        <w:numPr>
          <w:ilvl w:val="0"/>
          <w:numId w:val="7"/>
        </w:numPr>
        <w:spacing w:after="120"/>
        <w:rPr>
          <w:rFonts w:ascii="Times New Roman" w:cs="Times New Roman" w:hAnsi="Times New Roman"/>
          <w:lang w:val="es-ES"/>
        </w:rPr>
      </w:pPr>
      <w:r>
        <w:rPr>
          <w:rFonts w:ascii="Times New Roman" w:cs="Times New Roman" w:hAnsi="Times New Roman"/>
          <w:sz w:val="20"/>
          <w:lang w:val="es-ES"/>
        </w:rPr>
        <w:t>POL-CAL-01: Purga de 6 filas con entrega_fuera_sla nulas (registros no consolidados), fijando el dataset limpio en 354 filas y evitando sesgar el cálculo de la impureza Gini y Recall.</w:t>
      </w:r>
    </w:p>
    <w:p>
      <w:pPr>
        <w:pStyle w:val="20"/>
        <w:spacing w:after="120"/>
        <w:rPr>
          <w:rFonts w:ascii="Times New Roman" w:cs="Times New Roman" w:hAnsi="Times New Roman"/>
          <w:lang w:val="es-ES"/>
        </w:rPr>
      </w:pPr>
    </w:p>
    <w:p>
      <w:pPr>
        <w:pStyle w:val="20"/>
        <w:numPr>
          <w:ilvl w:val="0"/>
          <w:numId w:val="8"/>
        </w:numPr>
        <w:spacing w:after="120"/>
        <w:rPr>
          <w:rFonts w:ascii="Times New Roman" w:cs="Times New Roman" w:hAnsi="Times New Roman"/>
          <w:lang w:val="es-ES"/>
        </w:rPr>
      </w:pPr>
      <w:r>
        <w:rPr>
          <w:rFonts w:ascii="Times New Roman" w:cs="Times New Roman" w:hAnsi="Times New Roman"/>
          <w:sz w:val="20"/>
          <w:lang w:val="es-ES"/>
        </w:rPr>
        <w:t>POL-EST-02: Normalización de las 2 etiquetas 'NOCTURNA' a 'Nocturna', unificando 101 registros e impidiendo ramificaciones divididas arbitrarias en el árbol CART.</w:t>
      </w:r>
    </w:p>
    <w:p>
      <w:pPr>
        <w:pStyle w:val="20"/>
        <w:spacing w:after="120"/>
        <w:rPr>
          <w:rFonts w:ascii="Times New Roman" w:cs="Times New Roman" w:hAnsi="Times New Roman"/>
          <w:lang w:val="es-ES"/>
        </w:rPr>
      </w:pPr>
    </w:p>
    <w:p>
      <w:pPr>
        <w:pStyle w:val="20"/>
        <w:numPr>
          <w:ilvl w:val="0"/>
          <w:numId w:val="8"/>
        </w:numPr>
        <w:spacing w:after="120"/>
        <w:rPr>
          <w:rFonts w:ascii="Times New Roman" w:cs="Times New Roman" w:hAnsi="Times New Roman"/>
          <w:lang w:val="es-ES"/>
        </w:rPr>
      </w:pPr>
      <w:r>
        <w:rPr>
          <w:rFonts w:ascii="Times New Roman" w:cs="Times New Roman" w:hAnsi="Times New Roman"/>
          <w:sz w:val="20"/>
          <w:lang w:val="es-ES"/>
        </w:rPr>
        <w:t>POL-SEC-04: Exclusión analítica de 47 registros con geolocalización no autorizada para garantizar un modelo alineado con estándares éticos y legales.</w:t>
      </w:r>
    </w:p>
    <w:p>
      <w:pPr>
        <w:spacing w:after="120"/>
        <w:rPr>
          <w:rFonts w:ascii="Times New Roman" w:cs="Times New Roman" w:hAnsi="Times New Roman"/>
          <w:lang w:val="es-ES"/>
        </w:rPr>
      </w:pPr>
      <w:r>
        <w:rPr>
          <w:rFonts w:ascii="Times New Roman" w:cs="Times New Roman" w:hAnsi="Times New Roman"/>
          <w:sz w:val="20"/>
          <w:lang w:val="es-ES"/>
        </w:rPr>
        <w:t>5. Proceso de Minería de Datos: Partición del Dataset v1 (354 filas) en 70% entrenamiento y 30% prueba, ejecutando el algoritmo CART con criterio de división Gini.</w:t>
      </w:r>
    </w:p>
    <w:p>
      <w:pPr>
        <w:spacing w:after="120"/>
        <w:rPr>
          <w:rFonts w:ascii="Times New Roman" w:cs="Times New Roman" w:hAnsi="Times New Roman"/>
          <w:lang w:val="es-ES"/>
        </w:rPr>
      </w:pPr>
      <w:r>
        <w:rPr>
          <w:rFonts w:ascii="Times New Roman" w:cs="Times New Roman" w:hAnsi="Times New Roman"/>
          <w:sz w:val="20"/>
          <w:lang w:val="es-ES"/>
        </w:rPr>
        <w:t>6. Resultados Obtenidos: Extracción de reglas legibles en lenguaje natural (ej. Si zona_destino = 'Carazo' y paradas_ruta &gt; 60 -&gt; Probabilidad de Fuera de SLA del 88%).</w:t>
      </w:r>
    </w:p>
    <w:p>
      <w:pPr>
        <w:spacing w:after="120"/>
        <w:rPr>
          <w:rFonts w:ascii="Times New Roman" w:cs="Times New Roman" w:hAnsi="Times New Roman"/>
          <w:lang w:val="es-ES"/>
        </w:rPr>
      </w:pPr>
      <w:r>
        <w:rPr>
          <w:rFonts w:ascii="Times New Roman" w:cs="Times New Roman" w:hAnsi="Times New Roman"/>
          <w:sz w:val="20"/>
          <w:lang w:val="es-ES"/>
        </w:rPr>
        <w:t>7. Toma de Decisiones Operativa: Rediseño de itinerarios, fijación de un techo máximo de 60 paradas por ruta en Carazo y optimización del ruteo en el TMS.</w:t>
      </w:r>
    </w:p>
    <w:p>
      <w:pPr>
        <w:spacing w:before="280" w:after="120"/>
        <w:rPr>
          <w:rFonts w:ascii="Times New Roman" w:cs="Times New Roman" w:hAnsi="Times New Roman"/>
          <w:lang w:val="es-ES"/>
        </w:rPr>
      </w:pPr>
      <w:r>
        <w:rPr>
          <w:rFonts w:ascii="Times New Roman" w:cs="Times New Roman" w:hAnsi="Times New Roman"/>
          <w:b/>
          <w:sz w:val="24"/>
          <w:lang w:val="es-ES"/>
        </w:rPr>
        <w:t>18. Matriz de Integración del Marco V2</w:t>
      </w:r>
    </w:p>
    <w:p>
      <w:pPr>
        <w:spacing w:after="120"/>
        <w:rPr>
          <w:rFonts w:ascii="Times New Roman" w:cs="Times New Roman" w:hAnsi="Times New Roman"/>
          <w:sz w:val="20"/>
          <w:lang w:val="es-ES"/>
        </w:rPr>
      </w:pPr>
      <w:r>
        <w:rPr>
          <w:rFonts w:ascii="Times New Roman" w:cs="Times New Roman" w:hAnsi="Times New Roman"/>
          <w:sz w:val="20"/>
          <w:lang w:val="es-ES"/>
        </w:rPr>
        <w:t>La Matriz de Integración del Marco V2 demuestra la coherencia y relación sistemática entre todos los productos desarrollados durante las semanas 6 a 10:</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120"/>
        <w:gridCol w:w="3120"/>
        <w:gridCol w:w="3120"/>
      </w:tblGrid>
      <w:tr>
        <w:tc>
          <w:tcPr>
            <w:tcW w:w="312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7"/>
              </w:rPr>
              <w:t>Elemento del Marco</w:t>
            </w:r>
          </w:p>
        </w:tc>
        <w:tc>
          <w:tcPr>
            <w:tcW w:w="3120" w:type="dxa"/>
            <w:shd w:val="clear" w:color="auto" w:fill="1A365D"/>
            <w:tcMar>
              <w:top w:w="100" w:type="dxa"/>
              <w:left w:w="150" w:type="dxa"/>
              <w:bottom w:w="100" w:type="dxa"/>
              <w:right w:w="150" w:type="dxa"/>
            </w:tcMar>
          </w:tcPr>
          <w:p>
            <w:pPr>
              <w:jc w:val="center"/>
              <w:rPr>
                <w:rFonts w:ascii="Times New Roman" w:cs="Times New Roman" w:hAnsi="Times New Roman"/>
              </w:rPr>
            </w:pPr>
            <w:r>
              <w:rPr>
                <w:rFonts w:ascii="Times New Roman" w:cs="Times New Roman" w:hAnsi="Times New Roman"/>
                <w:b/>
                <w:color w:val="FFFFFF"/>
                <w:sz w:val="17"/>
              </w:rPr>
              <w:t>Producto Integrado</w:t>
            </w:r>
          </w:p>
        </w:tc>
        <w:tc>
          <w:tcPr>
            <w:tcW w:w="3120" w:type="dxa"/>
            <w:shd w:val="clear" w:color="auto" w:fill="1A365D"/>
            <w:tcMar>
              <w:top w:w="100" w:type="dxa"/>
              <w:left w:w="150" w:type="dxa"/>
              <w:bottom w:w="100" w:type="dxa"/>
              <w:right w:w="150" w:type="dxa"/>
            </w:tcMar>
          </w:tcPr>
          <w:p>
            <w:pPr>
              <w:jc w:val="center"/>
              <w:rPr>
                <w:rFonts w:ascii="Times New Roman" w:cs="Times New Roman" w:hAnsi="Times New Roman"/>
                <w:lang w:val="es-ES"/>
              </w:rPr>
            </w:pPr>
            <w:r>
              <w:rPr>
                <w:rFonts w:ascii="Times New Roman" w:cs="Times New Roman" w:hAnsi="Times New Roman"/>
                <w:b/>
                <w:color w:val="FFFFFF"/>
                <w:sz w:val="17"/>
                <w:lang w:val="es-ES"/>
              </w:rPr>
              <w:t>Semana / ¿Cómo se Relaciona con el Caso V0 y la Minería?</w:t>
            </w:r>
          </w:p>
        </w:tc>
      </w:tr>
      <w:tr>
        <w:tc>
          <w:tcPr>
            <w:tcW w:w="3120" w:type="dxa"/>
            <w:shd w:val="clear" w:color="auto" w:fill="F7FAFC"/>
            <w:tcMar>
              <w:top w:w="100" w:type="dxa"/>
              <w:left w:w="150" w:type="dxa"/>
              <w:bottom w:w="100" w:type="dxa"/>
              <w:right w:w="150" w:type="dxa"/>
            </w:tcMar>
          </w:tcPr>
          <w:p>
            <w:pPr>
              <w:rPr>
                <w:rFonts w:ascii="Times New Roman" w:cs="Times New Roman" w:hAnsi="Times New Roman"/>
                <w:sz w:val="16"/>
                <w:szCs w:val="16"/>
              </w:rPr>
            </w:pPr>
            <w:r>
              <w:rPr>
                <w:rFonts w:ascii="Times New Roman" w:cs="Times New Roman" w:hAnsi="Times New Roman"/>
                <w:sz w:val="16"/>
                <w:szCs w:val="16"/>
              </w:rPr>
              <w:t>Riesgos</w:t>
            </w:r>
          </w:p>
        </w:tc>
        <w:tc>
          <w:tcPr>
            <w:tcW w:w="3120" w:type="dxa"/>
            <w:shd w:val="clear" w:color="auto" w:fill="F7FAFC"/>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Matriz de Riesgos y Beneficios (COBIT 2019)</w:t>
            </w:r>
          </w:p>
        </w:tc>
        <w:tc>
          <w:tcPr>
            <w:tcW w:w="3120" w:type="dxa"/>
            <w:shd w:val="clear" w:color="auto" w:fill="F7FAFC"/>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Semana 6 • Identifica amenazas operativas (R01 a R04) asociadas a los 6 nulos y errores de etiqueta 'NOCTURNA' detectados en el Excel original V0.</w:t>
            </w:r>
          </w:p>
        </w:tc>
      </w:tr>
      <w:tr>
        <w:tc>
          <w:tcPr>
            <w:tcW w:w="3120" w:type="dxa"/>
            <w:shd w:val="clear" w:color="auto" w:fill="FFFFFF"/>
            <w:tcMar>
              <w:top w:w="100" w:type="dxa"/>
              <w:left w:w="150" w:type="dxa"/>
              <w:bottom w:w="100" w:type="dxa"/>
              <w:right w:w="150" w:type="dxa"/>
            </w:tcMar>
          </w:tcPr>
          <w:p>
            <w:pPr>
              <w:rPr>
                <w:rFonts w:ascii="Times New Roman" w:cs="Times New Roman" w:hAnsi="Times New Roman"/>
                <w:sz w:val="16"/>
                <w:szCs w:val="16"/>
              </w:rPr>
            </w:pPr>
            <w:r>
              <w:rPr>
                <w:rFonts w:ascii="Times New Roman" w:cs="Times New Roman" w:hAnsi="Times New Roman"/>
                <w:sz w:val="16"/>
                <w:szCs w:val="16"/>
              </w:rPr>
              <w:t>Estrategia</w:t>
            </w:r>
          </w:p>
        </w:tc>
        <w:tc>
          <w:tcPr>
            <w:tcW w:w="3120" w:type="dxa"/>
            <w:shd w:val="clear" w:color="auto" w:fill="FFFFFF"/>
            <w:tcMar>
              <w:top w:w="100" w:type="dxa"/>
              <w:left w:w="150" w:type="dxa"/>
              <w:bottom w:w="100" w:type="dxa"/>
              <w:right w:w="150" w:type="dxa"/>
            </w:tcMar>
          </w:tcPr>
          <w:p>
            <w:pPr>
              <w:rPr>
                <w:rFonts w:ascii="Times New Roman" w:cs="Times New Roman" w:hAnsi="Times New Roman"/>
                <w:sz w:val="16"/>
                <w:szCs w:val="16"/>
              </w:rPr>
            </w:pPr>
            <w:r>
              <w:rPr>
                <w:rFonts w:ascii="Times New Roman" w:cs="Times New Roman" w:hAnsi="Times New Roman"/>
                <w:sz w:val="16"/>
                <w:szCs w:val="16"/>
              </w:rPr>
              <w:t>Matriz de Alineación Estratégica</w:t>
            </w:r>
          </w:p>
        </w:tc>
        <w:tc>
          <w:tcPr>
            <w:tcW w:w="3120" w:type="dxa"/>
            <w:shd w:val="clear" w:color="auto" w:fill="FFFFFF"/>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Semana 7 • Conecta los objetivos de reducción de fallas en las 95 rutas con la necesidad de limpiar el dataset consumido por el modelo CART.</w:t>
            </w:r>
          </w:p>
        </w:tc>
      </w:tr>
      <w:tr>
        <w:tc>
          <w:tcPr>
            <w:tcW w:w="3120" w:type="dxa"/>
            <w:shd w:val="clear" w:color="auto" w:fill="F7FAFC"/>
            <w:tcMar>
              <w:top w:w="100" w:type="dxa"/>
              <w:left w:w="150" w:type="dxa"/>
              <w:bottom w:w="100" w:type="dxa"/>
              <w:right w:w="150" w:type="dxa"/>
            </w:tcMar>
          </w:tcPr>
          <w:p>
            <w:pPr>
              <w:rPr>
                <w:rFonts w:ascii="Times New Roman" w:cs="Times New Roman" w:hAnsi="Times New Roman"/>
                <w:sz w:val="16"/>
                <w:szCs w:val="16"/>
              </w:rPr>
            </w:pPr>
            <w:r>
              <w:rPr>
                <w:rFonts w:ascii="Times New Roman" w:cs="Times New Roman" w:hAnsi="Times New Roman"/>
                <w:sz w:val="16"/>
                <w:szCs w:val="16"/>
              </w:rPr>
              <w:t>Políticas</w:t>
            </w:r>
          </w:p>
        </w:tc>
        <w:tc>
          <w:tcPr>
            <w:tcW w:w="3120" w:type="dxa"/>
            <w:shd w:val="clear" w:color="auto" w:fill="F7FAFC"/>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Políticas de Gobierno (POL-CAL-01, POL-EST-02, POL-OPO-03, POL-SEC-04)</w:t>
            </w:r>
          </w:p>
        </w:tc>
        <w:tc>
          <w:tcPr>
            <w:tcW w:w="3120" w:type="dxa"/>
            <w:shd w:val="clear" w:color="auto" w:fill="F7FAFC"/>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Semana 8 • Establecen mandatos obligatorios para corregir las deficiencias identificadas en la hoja Diccionario de V0.</w:t>
            </w:r>
          </w:p>
        </w:tc>
      </w:tr>
      <w:tr>
        <w:tc>
          <w:tcPr>
            <w:tcW w:w="3120" w:type="dxa"/>
            <w:shd w:val="clear" w:color="auto" w:fill="FFFFFF"/>
            <w:tcMar>
              <w:top w:w="100" w:type="dxa"/>
              <w:left w:w="150" w:type="dxa"/>
              <w:bottom w:w="100" w:type="dxa"/>
              <w:right w:w="150" w:type="dxa"/>
            </w:tcMar>
          </w:tcPr>
          <w:p>
            <w:pPr>
              <w:rPr>
                <w:rFonts w:ascii="Times New Roman" w:cs="Times New Roman" w:hAnsi="Times New Roman"/>
                <w:sz w:val="16"/>
                <w:szCs w:val="16"/>
              </w:rPr>
            </w:pPr>
            <w:r>
              <w:rPr>
                <w:rFonts w:ascii="Times New Roman" w:cs="Times New Roman" w:hAnsi="Times New Roman"/>
                <w:sz w:val="16"/>
                <w:szCs w:val="16"/>
              </w:rPr>
              <w:t>Reglas</w:t>
            </w:r>
          </w:p>
        </w:tc>
        <w:tc>
          <w:tcPr>
            <w:tcW w:w="3120" w:type="dxa"/>
            <w:shd w:val="clear" w:color="auto" w:fill="FFFFFF"/>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Reglas de Gobierno de Datos (R-CAL-01, R-EST-02, R-OPO-03)</w:t>
            </w:r>
          </w:p>
        </w:tc>
        <w:tc>
          <w:tcPr>
            <w:tcW w:w="3120" w:type="dxa"/>
            <w:shd w:val="clear" w:color="auto" w:fill="FFFFFF"/>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Semana 8 • Especifican restricciones numéricas y categóricas (ej. campo binario {0,1} y lista cerrada de 4 franjas horarias).</w:t>
            </w:r>
          </w:p>
        </w:tc>
      </w:tr>
      <w:tr>
        <w:tc>
          <w:tcPr>
            <w:tcW w:w="3120" w:type="dxa"/>
            <w:shd w:val="clear" w:color="auto" w:fill="F7FAFC"/>
            <w:tcMar>
              <w:top w:w="100" w:type="dxa"/>
              <w:left w:w="150" w:type="dxa"/>
              <w:bottom w:w="100" w:type="dxa"/>
              <w:right w:w="150" w:type="dxa"/>
            </w:tcMar>
          </w:tcPr>
          <w:p>
            <w:pPr>
              <w:rPr>
                <w:rFonts w:ascii="Times New Roman" w:cs="Times New Roman" w:hAnsi="Times New Roman"/>
                <w:sz w:val="16"/>
                <w:szCs w:val="16"/>
              </w:rPr>
            </w:pPr>
            <w:r>
              <w:rPr>
                <w:rFonts w:ascii="Times New Roman" w:cs="Times New Roman" w:hAnsi="Times New Roman"/>
                <w:sz w:val="16"/>
                <w:szCs w:val="16"/>
              </w:rPr>
              <w:t>Controles</w:t>
            </w:r>
          </w:p>
        </w:tc>
        <w:tc>
          <w:tcPr>
            <w:tcW w:w="3120" w:type="dxa"/>
            <w:shd w:val="clear" w:color="auto" w:fill="F7FAFC"/>
            <w:tcMar>
              <w:top w:w="100" w:type="dxa"/>
              <w:left w:w="150" w:type="dxa"/>
              <w:bottom w:w="100" w:type="dxa"/>
              <w:right w:w="150" w:type="dxa"/>
            </w:tcMar>
          </w:tcPr>
          <w:p>
            <w:pPr>
              <w:rPr>
                <w:rFonts w:ascii="Times New Roman" w:cs="Times New Roman" w:hAnsi="Times New Roman"/>
                <w:sz w:val="16"/>
                <w:szCs w:val="16"/>
              </w:rPr>
            </w:pPr>
            <w:r>
              <w:rPr>
                <w:rFonts w:ascii="Times New Roman" w:cs="Times New Roman" w:hAnsi="Times New Roman"/>
                <w:sz w:val="16"/>
                <w:szCs w:val="16"/>
              </w:rPr>
              <w:t>Controles y Guardrails (Scripts NOT NULL y Menús Desplegables)</w:t>
            </w:r>
          </w:p>
        </w:tc>
        <w:tc>
          <w:tcPr>
            <w:tcW w:w="3120" w:type="dxa"/>
            <w:shd w:val="clear" w:color="auto" w:fill="F7FAFC"/>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Semana 8 • Mecanismos técnicos en App/TMS que previenen la entrada de casillas en blanco y etiquetas inconsistentes.</w:t>
            </w:r>
          </w:p>
        </w:tc>
      </w:tr>
      <w:tr>
        <w:tc>
          <w:tcPr>
            <w:tcW w:w="3120" w:type="dxa"/>
            <w:shd w:val="clear" w:color="auto" w:fill="FFFFFF"/>
            <w:tcMar>
              <w:top w:w="100" w:type="dxa"/>
              <w:left w:w="150" w:type="dxa"/>
              <w:bottom w:w="100" w:type="dxa"/>
              <w:right w:w="150" w:type="dxa"/>
            </w:tcMar>
          </w:tcPr>
          <w:p>
            <w:pPr>
              <w:rPr>
                <w:rFonts w:ascii="Times New Roman" w:cs="Times New Roman" w:hAnsi="Times New Roman"/>
                <w:sz w:val="16"/>
                <w:szCs w:val="16"/>
              </w:rPr>
            </w:pPr>
            <w:r>
              <w:rPr>
                <w:rFonts w:ascii="Times New Roman" w:cs="Times New Roman" w:hAnsi="Times New Roman"/>
                <w:sz w:val="16"/>
                <w:szCs w:val="16"/>
              </w:rPr>
              <w:t>Datos</w:t>
            </w:r>
          </w:p>
        </w:tc>
        <w:tc>
          <w:tcPr>
            <w:tcW w:w="3120" w:type="dxa"/>
            <w:shd w:val="clear" w:color="auto" w:fill="FFFFFF"/>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Diccionario de Datos Completo (16 Variables)</w:t>
            </w:r>
          </w:p>
        </w:tc>
        <w:tc>
          <w:tcPr>
            <w:tcW w:w="3120" w:type="dxa"/>
            <w:shd w:val="clear" w:color="auto" w:fill="FFFFFF"/>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Semana 9 • Documenta la correspondencia exacta con las 15 variables de V0 más la variable calculada demora_carga_dias.</w:t>
            </w:r>
          </w:p>
        </w:tc>
      </w:tr>
      <w:tr>
        <w:tc>
          <w:tcPr>
            <w:tcW w:w="3120" w:type="dxa"/>
            <w:shd w:val="clear" w:color="auto" w:fill="F7FAFC"/>
            <w:tcMar>
              <w:top w:w="100" w:type="dxa"/>
              <w:left w:w="150" w:type="dxa"/>
              <w:bottom w:w="100" w:type="dxa"/>
              <w:right w:w="150" w:type="dxa"/>
            </w:tcMar>
          </w:tcPr>
          <w:p>
            <w:pPr>
              <w:rPr>
                <w:rFonts w:ascii="Times New Roman" w:cs="Times New Roman" w:hAnsi="Times New Roman"/>
                <w:sz w:val="16"/>
                <w:szCs w:val="16"/>
              </w:rPr>
            </w:pPr>
            <w:r>
              <w:rPr>
                <w:rFonts w:ascii="Times New Roman" w:cs="Times New Roman" w:hAnsi="Times New Roman"/>
                <w:sz w:val="16"/>
                <w:szCs w:val="16"/>
              </w:rPr>
              <w:t>Clasificación</w:t>
            </w:r>
          </w:p>
        </w:tc>
        <w:tc>
          <w:tcPr>
            <w:tcW w:w="3120" w:type="dxa"/>
            <w:shd w:val="clear" w:color="auto" w:fill="F7FAFC"/>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Matriz de Clasificación y Sensibilidad</w:t>
            </w:r>
          </w:p>
        </w:tc>
        <w:tc>
          <w:tcPr>
            <w:tcW w:w="3120" w:type="dxa"/>
            <w:shd w:val="clear" w:color="auto" w:fill="F7FAFC"/>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Semana 9 • Regula el nivel de acceso (Público, Interno, Confidencial, Sensible) y protege los 47 registros con GPS no autorizado.</w:t>
            </w:r>
          </w:p>
        </w:tc>
      </w:tr>
      <w:tr>
        <w:tc>
          <w:tcPr>
            <w:tcW w:w="3120" w:type="dxa"/>
            <w:shd w:val="clear" w:color="auto" w:fill="FFFFFF"/>
            <w:tcMar>
              <w:top w:w="100" w:type="dxa"/>
              <w:left w:w="150" w:type="dxa"/>
              <w:bottom w:w="100" w:type="dxa"/>
              <w:right w:w="150" w:type="dxa"/>
            </w:tcMar>
          </w:tcPr>
          <w:p>
            <w:pPr>
              <w:rPr>
                <w:rFonts w:ascii="Times New Roman" w:cs="Times New Roman" w:hAnsi="Times New Roman"/>
                <w:sz w:val="16"/>
                <w:szCs w:val="16"/>
              </w:rPr>
            </w:pPr>
            <w:r>
              <w:rPr>
                <w:rFonts w:ascii="Times New Roman" w:cs="Times New Roman" w:hAnsi="Times New Roman"/>
                <w:sz w:val="16"/>
                <w:szCs w:val="16"/>
              </w:rPr>
              <w:t>Trazabilidad</w:t>
            </w:r>
          </w:p>
        </w:tc>
        <w:tc>
          <w:tcPr>
            <w:tcW w:w="3120" w:type="dxa"/>
            <w:shd w:val="clear" w:color="auto" w:fill="FFFFFF"/>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Diagrama de Trazabilidad de Datos (7 Etapas)</w:t>
            </w:r>
          </w:p>
        </w:tc>
        <w:tc>
          <w:tcPr>
            <w:tcW w:w="3120" w:type="dxa"/>
            <w:shd w:val="clear" w:color="auto" w:fill="FFFFFF"/>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Semana 9 • Representa la transformación desde las 360 filas de V0 hasta los 354 registros limpios del Dataset v1 en Power BI.</w:t>
            </w:r>
          </w:p>
        </w:tc>
      </w:tr>
      <w:tr>
        <w:tc>
          <w:tcPr>
            <w:tcW w:w="3120" w:type="dxa"/>
            <w:shd w:val="clear" w:color="auto" w:fill="F7FAFC"/>
            <w:tcMar>
              <w:top w:w="100" w:type="dxa"/>
              <w:left w:w="150" w:type="dxa"/>
              <w:bottom w:w="100" w:type="dxa"/>
              <w:right w:w="150" w:type="dxa"/>
            </w:tcMar>
          </w:tcPr>
          <w:p>
            <w:pPr>
              <w:rPr>
                <w:rFonts w:ascii="Times New Roman" w:cs="Times New Roman" w:hAnsi="Times New Roman"/>
                <w:sz w:val="16"/>
                <w:szCs w:val="16"/>
              </w:rPr>
            </w:pPr>
            <w:r>
              <w:rPr>
                <w:rFonts w:ascii="Times New Roman" w:cs="Times New Roman" w:hAnsi="Times New Roman"/>
                <w:sz w:val="16"/>
                <w:szCs w:val="16"/>
              </w:rPr>
              <w:t>Ciclo de Vida</w:t>
            </w:r>
          </w:p>
        </w:tc>
        <w:tc>
          <w:tcPr>
            <w:tcW w:w="3120" w:type="dxa"/>
            <w:shd w:val="clear" w:color="auto" w:fill="F7FAFC"/>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Modelo del Ciclo de Vida de los Datos (6 Etapas)</w:t>
            </w:r>
          </w:p>
        </w:tc>
        <w:tc>
          <w:tcPr>
            <w:tcW w:w="3120" w:type="dxa"/>
            <w:shd w:val="clear" w:color="auto" w:fill="F7FAFC"/>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Semana 9 • Define el tratamiento de la información en cada etapa operativa (Captura a Eliminación) bajo el estándar V2</w:t>
            </w:r>
          </w:p>
        </w:tc>
      </w:tr>
      <w:tr>
        <w:tc>
          <w:tcPr>
            <w:tcW w:w="3120" w:type="dxa"/>
            <w:shd w:val="clear" w:color="auto" w:fill="FFFFFF"/>
            <w:tcMar>
              <w:top w:w="100" w:type="dxa"/>
              <w:left w:w="150" w:type="dxa"/>
              <w:bottom w:w="100" w:type="dxa"/>
              <w:right w:w="150" w:type="dxa"/>
            </w:tcMar>
          </w:tcPr>
          <w:p>
            <w:pPr>
              <w:rPr>
                <w:rFonts w:ascii="Times New Roman" w:cs="Times New Roman" w:hAnsi="Times New Roman"/>
                <w:sz w:val="16"/>
                <w:szCs w:val="16"/>
              </w:rPr>
            </w:pPr>
            <w:r>
              <w:rPr>
                <w:rFonts w:ascii="Times New Roman" w:cs="Times New Roman" w:hAnsi="Times New Roman"/>
                <w:sz w:val="16"/>
                <w:szCs w:val="16"/>
              </w:rPr>
              <w:t>Integración</w:t>
            </w:r>
          </w:p>
        </w:tc>
        <w:tc>
          <w:tcPr>
            <w:tcW w:w="3120" w:type="dxa"/>
            <w:shd w:val="clear" w:color="auto" w:fill="FFFFFF"/>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Marco V2 de Gobierno e Integración Analítica</w:t>
            </w:r>
          </w:p>
        </w:tc>
        <w:tc>
          <w:tcPr>
            <w:tcW w:w="3120" w:type="dxa"/>
            <w:shd w:val="clear" w:color="auto" w:fill="FFFFFF"/>
            <w:tcMar>
              <w:top w:w="100" w:type="dxa"/>
              <w:left w:w="150" w:type="dxa"/>
              <w:bottom w:w="100" w:type="dxa"/>
              <w:right w:w="150" w:type="dxa"/>
            </w:tcMar>
          </w:tcPr>
          <w:p>
            <w:pPr>
              <w:rPr>
                <w:rFonts w:ascii="Times New Roman" w:cs="Times New Roman" w:hAnsi="Times New Roman"/>
                <w:sz w:val="16"/>
                <w:szCs w:val="16"/>
                <w:lang w:val="es-ES"/>
              </w:rPr>
            </w:pPr>
            <w:r>
              <w:rPr>
                <w:rFonts w:ascii="Times New Roman" w:cs="Times New Roman" w:hAnsi="Times New Roman"/>
                <w:sz w:val="16"/>
                <w:szCs w:val="16"/>
                <w:lang w:val="es-ES"/>
              </w:rPr>
              <w:t>Semana 10 • Sintetiza todos los productos para garantizar que las reglas del Árbol CART sean 100% fiables para la Gerencia.</w:t>
            </w:r>
          </w:p>
        </w:tc>
      </w:tr>
    </w:tbl>
    <w:p>
      <w:pPr>
        <w:spacing w:before="280" w:after="120"/>
        <w:rPr>
          <w:rFonts w:ascii="Times New Roman" w:cs="Times New Roman" w:hAnsi="Times New Roman"/>
          <w:b/>
          <w:sz w:val="24"/>
          <w:lang w:val="es-ES"/>
        </w:rPr>
      </w:pPr>
    </w:p>
    <w:p>
      <w:pPr>
        <w:spacing w:before="280" w:after="120"/>
        <w:rPr>
          <w:rFonts w:ascii="Times New Roman" w:cs="Times New Roman" w:hAnsi="Times New Roman"/>
          <w:lang w:val="es-ES"/>
        </w:rPr>
      </w:pPr>
      <w:r>
        <w:rPr>
          <w:rFonts w:ascii="Times New Roman" w:cs="Times New Roman" w:hAnsi="Times New Roman"/>
          <w:b/>
          <w:sz w:val="24"/>
          <w:lang w:val="es-ES"/>
        </w:rPr>
        <w:t>19. Conclusiones</w:t>
      </w:r>
    </w:p>
    <w:p>
      <w:pPr>
        <w:spacing w:after="120"/>
        <w:rPr>
          <w:rFonts w:ascii="Times New Roman" w:cs="Times New Roman" w:hAnsi="Times New Roman"/>
          <w:lang w:val="es-NI"/>
        </w:rPr>
      </w:pPr>
      <w:r>
        <w:rPr>
          <w:rFonts w:ascii="Times New Roman" w:cs="Times New Roman" w:hAnsi="Times New Roman"/>
          <w:lang w:val="es-NI"/>
        </w:rPr>
        <w:t>El diagnóstico y la integración del Marco muestran que los principales problemas de Gobierno de Datos en RápidoPacífico Logística están relacionados con la completitud del resultado SLA, duplicidad de categorías e identificadores, valores fuera de rango, cargas tardías y necesidad de mayor trazabilidad.</w:t>
      </w:r>
    </w:p>
    <w:p>
      <w:pPr>
        <w:spacing w:after="120"/>
        <w:rPr>
          <w:rFonts w:ascii="Times New Roman" w:cs="Times New Roman" w:hAnsi="Times New Roman"/>
          <w:lang w:val="es-NI"/>
        </w:rPr>
      </w:pPr>
      <w:r>
        <w:rPr>
          <w:rFonts w:ascii="Times New Roman" w:cs="Times New Roman" w:hAnsi="Times New Roman"/>
          <w:lang w:val="es-NI"/>
        </w:rPr>
        <w:t>Los riesgos se atienden mediante políticas, reglas y controles relacionados directamente con los hallazgos del Corte. Entre las respuestas principales se encuentran hacer obligatorio el resultado de SLA, utilizar catálogos cerrados, validar rangos, controlar duplicados, conciliar las rutas y medir la demora de carga.</w:t>
      </w:r>
    </w:p>
    <w:p>
      <w:pPr>
        <w:spacing w:after="120"/>
        <w:rPr>
          <w:rFonts w:ascii="Times New Roman" w:cs="Times New Roman" w:hAnsi="Times New Roman"/>
          <w:lang w:val="es-NI"/>
        </w:rPr>
      </w:pPr>
      <w:r>
        <w:rPr>
          <w:rFonts w:ascii="Times New Roman" w:cs="Times New Roman" w:hAnsi="Times New Roman"/>
          <w:lang w:val="es-NI"/>
        </w:rPr>
        <w:t>El Gobierno de Datos contribuye al proceso de Minería de Datos al establecer condiciones para que el dataset analítico sea más completo, consistente, oportuno y trazable. Esto permite que los indicadores y análisis de SLA se construyan sobre información con controles definidos y que sus resultados puedan relacionarse con decisiones de planificación y operación.</w:t>
      </w:r>
    </w:p>
    <w:p>
      <w:pPr>
        <w:spacing w:after="120"/>
        <w:rPr>
          <w:rFonts w:ascii="Times New Roman" w:cs="Times New Roman" w:hAnsi="Times New Roman"/>
          <w:lang w:val="es-NI"/>
        </w:rPr>
      </w:pPr>
      <w:r>
        <w:rPr>
          <w:rFonts w:ascii="Times New Roman" w:cs="Times New Roman" w:hAnsi="Times New Roman"/>
          <w:lang w:val="es-NI"/>
        </w:rPr>
        <w:t>Como elementos posteriores de implementación se consideran la configuración efectiva de validaciones en TMS/App/BD, la formalización de los roles, la aplicación de controles de acceso, la automatización de alertas y la evolución hacia el proceso TO-BE.</w:t>
      </w:r>
    </w:p>
    <w:p>
      <w:pPr>
        <w:spacing w:after="120"/>
        <w:rPr>
          <w:rFonts w:ascii="Times New Roman" w:cs="Times New Roman" w:hAnsi="Times New Roman"/>
          <w:lang w:val="es-NI"/>
        </w:rPr>
      </w:pPr>
      <w:r>
        <w:rPr>
          <w:rFonts w:ascii="Times New Roman" w:cs="Times New Roman" w:hAnsi="Times New Roman"/>
          <w:lang w:val="es-NI"/>
        </w:rPr>
        <w:t>Una siguiente versión deberá evaluar la efectividad real de las políticas y controles mediante evidencias de implementación, resultados de los indicadores y seguimiento de las acciones de mejora.</w:t>
      </w:r>
    </w:p>
    <w:p>
      <w:pPr>
        <w:spacing w:after="120"/>
        <w:rPr>
          <w:rFonts w:ascii="Times New Roman" w:cs="Times New Roman" w:hAnsi="Times New Roman"/>
          <w:lang w:val="es-NI"/>
        </w:rPr>
      </w:pPr>
    </w:p>
    <w:sectPr>
      <w:pgSz w:w="12240" w:h="15840"/>
      <w:pgMar w:top="1440" w:right="1440" w:bottom="1440" w:left="144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ＭＳ 明朝">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ＭＳ ゴシック">
    <w:panose1 w:val="00000000000000000000"/>
    <w:charset w:val="00"/>
    <w:family w:val="auto"/>
    <w:pitch w:val="variable"/>
    <w:sig w:usb0="00000000" w:usb1="00000000" w:usb2="00000000" w:usb3="00000000" w:csb0="00000000" w:csb1="00000000"/>
  </w:font>
  <w:font w:name="Courier">
    <w:altName w:val="Courier New"/>
    <w:panose1 w:val="020704090202050204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multilevel"/>
    <w:tmpl w:val="1AC68E14"/>
    <w:lvl w:ilvl="0">
      <w:start w:val="1"/>
      <w:numFmt w:val="decimal"/>
      <w:lvlRestart w:val="0"/>
      <w:lvlText w:val="%1."/>
      <w:lvlJc w:val="left"/>
      <w:pPr>
        <w:tabs>
          <w:tab w:val="num" w:pos="0"/>
        </w:tabs>
        <w:ind w:left="360" w:hanging="360"/>
      </w:pPr>
      <w:rPr>
        <w:color w:val="000000"/>
      </w:rPr>
    </w:lvl>
    <w:lvl w:ilvl="1">
      <w:start w:val="1"/>
      <w:numFmt w:val="decimal"/>
      <w:lvlText w:val="%1.%2."/>
      <w:lvlJc w:val="left"/>
      <w:pPr>
        <w:tabs>
          <w:tab w:val="num" w:pos="0"/>
        </w:tabs>
        <w:ind w:left="792" w:hanging="432"/>
      </w:pPr>
      <w:rPr>
        <w:rFonts w:hint="default"/>
        <w:b/>
        <w:color w:val="auto"/>
      </w:rPr>
    </w:lvl>
    <w:lvl w:ilvl="2">
      <w:start w:val="1"/>
      <w:numFmt w:val="decimal"/>
      <w:lvlText w:val="%1.%2.%3."/>
      <w:lvlJc w:val="left"/>
      <w:pPr>
        <w:tabs>
          <w:tab w:val="num" w:pos="0"/>
        </w:tabs>
        <w:ind w:left="1224" w:hanging="504"/>
      </w:pPr>
      <w:rPr>
        <w:rFonts w:hint="default"/>
        <w:b/>
        <w:color w:val="2B6CB0"/>
      </w:rPr>
    </w:lvl>
    <w:lvl w:ilvl="3">
      <w:start w:val="1"/>
      <w:numFmt w:val="decimal"/>
      <w:lvlText w:val="%1.%2.%3.%4."/>
      <w:lvlJc w:val="left"/>
      <w:pPr>
        <w:tabs>
          <w:tab w:val="num" w:pos="0"/>
        </w:tabs>
        <w:ind w:left="1728" w:hanging="648"/>
      </w:pPr>
      <w:rPr>
        <w:rFonts w:hint="default"/>
        <w:b/>
        <w:color w:val="2B6CB0"/>
      </w:rPr>
    </w:lvl>
    <w:lvl w:ilvl="4">
      <w:start w:val="1"/>
      <w:numFmt w:val="decimal"/>
      <w:lvlText w:val="%1.%2.%3.%4.%5."/>
      <w:lvlJc w:val="left"/>
      <w:pPr>
        <w:tabs>
          <w:tab w:val="num" w:pos="0"/>
        </w:tabs>
        <w:ind w:left="2232" w:hanging="792"/>
      </w:pPr>
      <w:rPr>
        <w:rFonts w:hint="default"/>
        <w:b/>
        <w:color w:val="2B6CB0"/>
      </w:rPr>
    </w:lvl>
    <w:lvl w:ilvl="5">
      <w:start w:val="1"/>
      <w:numFmt w:val="decimal"/>
      <w:lvlText w:val="%1.%2.%3.%4.%5.%6."/>
      <w:lvlJc w:val="left"/>
      <w:pPr>
        <w:tabs>
          <w:tab w:val="num" w:pos="0"/>
        </w:tabs>
        <w:ind w:left="2736" w:hanging="936"/>
      </w:pPr>
      <w:rPr>
        <w:rFonts w:hint="default"/>
        <w:b/>
        <w:color w:val="2B6CB0"/>
      </w:rPr>
    </w:lvl>
    <w:lvl w:ilvl="6">
      <w:start w:val="1"/>
      <w:numFmt w:val="decimal"/>
      <w:lvlText w:val="%1.%2.%3.%4.%5.%6.%7."/>
      <w:lvlJc w:val="left"/>
      <w:pPr>
        <w:tabs>
          <w:tab w:val="num" w:pos="0"/>
        </w:tabs>
        <w:ind w:left="3240" w:hanging="1080"/>
      </w:pPr>
      <w:rPr>
        <w:rFonts w:hint="default"/>
        <w:b/>
        <w:color w:val="2B6CB0"/>
      </w:rPr>
    </w:lvl>
    <w:lvl w:ilvl="7">
      <w:start w:val="1"/>
      <w:numFmt w:val="decimal"/>
      <w:lvlText w:val="%1.%2.%3.%4.%5.%6.%7.%8."/>
      <w:lvlJc w:val="left"/>
      <w:pPr>
        <w:tabs>
          <w:tab w:val="num" w:pos="0"/>
        </w:tabs>
        <w:ind w:left="3744" w:hanging="1224"/>
      </w:pPr>
      <w:rPr>
        <w:rFonts w:hint="default"/>
        <w:b/>
        <w:color w:val="2B6CB0"/>
      </w:rPr>
    </w:lvl>
    <w:lvl w:ilvl="8">
      <w:start w:val="1"/>
      <w:numFmt w:val="decimal"/>
      <w:lvlText w:val="%1.%2.%3.%4.%5.%6.%7.%8.%9."/>
      <w:lvlJc w:val="left"/>
      <w:pPr>
        <w:tabs>
          <w:tab w:val="num" w:pos="0"/>
        </w:tabs>
        <w:ind w:left="4320" w:hanging="1440"/>
      </w:pPr>
      <w:rPr>
        <w:rFonts w:hint="default"/>
        <w:b/>
        <w:color w:val="2B6CB0"/>
      </w:rPr>
    </w:lvl>
  </w:abstractNum>
  <w:abstractNum w:abstractNumId="1">
    <w:multiLevelType w:val="multilevel"/>
    <w:tmpl w:val="17F698A8"/>
    <w:lvl w:ilvl="0">
      <w:start w:val="3"/>
      <w:numFmt w:val="decimal"/>
      <w:lvlRestart w:val="0"/>
      <w:lvlText w:val="%1"/>
      <w:lvlJc w:val="left"/>
      <w:pPr>
        <w:tabs>
          <w:tab w:val="num" w:pos="0"/>
        </w:tabs>
        <w:ind w:left="360" w:hanging="360"/>
      </w:pPr>
      <w:rPr>
        <w:rFonts w:hint="default"/>
        <w:color w:val="000000"/>
        <w:sz w:val="22"/>
      </w:rPr>
    </w:lvl>
    <w:lvl w:ilvl="1">
      <w:start w:val="2"/>
      <w:numFmt w:val="decimal"/>
      <w:lvlText w:val="%1.%2"/>
      <w:lvlJc w:val="left"/>
      <w:pPr>
        <w:tabs>
          <w:tab w:val="num" w:pos="0"/>
        </w:tabs>
        <w:ind w:left="1080" w:hanging="360"/>
      </w:pPr>
      <w:rPr>
        <w:rFonts w:hint="default"/>
        <w:color w:val="000000"/>
        <w:sz w:val="22"/>
      </w:rPr>
    </w:lvl>
    <w:lvl w:ilvl="2">
      <w:start w:val="1"/>
      <w:numFmt w:val="decimal"/>
      <w:lvlText w:val="%1.%2.%3"/>
      <w:lvlJc w:val="left"/>
      <w:pPr>
        <w:tabs>
          <w:tab w:val="num" w:pos="0"/>
        </w:tabs>
        <w:ind w:left="2160" w:hanging="720"/>
      </w:pPr>
      <w:rPr>
        <w:rFonts w:hint="default"/>
        <w:color w:val="000000"/>
        <w:sz w:val="22"/>
      </w:rPr>
    </w:lvl>
    <w:lvl w:ilvl="3">
      <w:start w:val="1"/>
      <w:numFmt w:val="decimal"/>
      <w:lvlText w:val="%1.%2.%3.%4"/>
      <w:lvlJc w:val="left"/>
      <w:pPr>
        <w:tabs>
          <w:tab w:val="num" w:pos="0"/>
        </w:tabs>
        <w:ind w:left="2880" w:hanging="720"/>
      </w:pPr>
      <w:rPr>
        <w:rFonts w:hint="default"/>
        <w:color w:val="000000"/>
        <w:sz w:val="22"/>
      </w:rPr>
    </w:lvl>
    <w:lvl w:ilvl="4">
      <w:start w:val="1"/>
      <w:numFmt w:val="decimal"/>
      <w:lvlText w:val="%1.%2.%3.%4.%5"/>
      <w:lvlJc w:val="left"/>
      <w:pPr>
        <w:tabs>
          <w:tab w:val="num" w:pos="0"/>
        </w:tabs>
        <w:ind w:left="3600" w:hanging="720"/>
      </w:pPr>
      <w:rPr>
        <w:rFonts w:hint="default"/>
        <w:color w:val="000000"/>
        <w:sz w:val="22"/>
      </w:rPr>
    </w:lvl>
    <w:lvl w:ilvl="5">
      <w:start w:val="1"/>
      <w:numFmt w:val="decimal"/>
      <w:lvlText w:val="%1.%2.%3.%4.%5.%6"/>
      <w:lvlJc w:val="left"/>
      <w:pPr>
        <w:tabs>
          <w:tab w:val="num" w:pos="0"/>
        </w:tabs>
        <w:ind w:left="4680" w:hanging="1080"/>
      </w:pPr>
      <w:rPr>
        <w:rFonts w:hint="default"/>
        <w:color w:val="000000"/>
        <w:sz w:val="22"/>
      </w:rPr>
    </w:lvl>
    <w:lvl w:ilvl="6">
      <w:start w:val="1"/>
      <w:numFmt w:val="decimal"/>
      <w:lvlText w:val="%1.%2.%3.%4.%5.%6.%7"/>
      <w:lvlJc w:val="left"/>
      <w:pPr>
        <w:tabs>
          <w:tab w:val="num" w:pos="0"/>
        </w:tabs>
        <w:ind w:left="5400" w:hanging="1080"/>
      </w:pPr>
      <w:rPr>
        <w:rFonts w:hint="default"/>
        <w:color w:val="000000"/>
        <w:sz w:val="22"/>
      </w:rPr>
    </w:lvl>
    <w:lvl w:ilvl="7">
      <w:start w:val="1"/>
      <w:numFmt w:val="decimal"/>
      <w:lvlText w:val="%1.%2.%3.%4.%5.%6.%7.%8"/>
      <w:lvlJc w:val="left"/>
      <w:pPr>
        <w:tabs>
          <w:tab w:val="num" w:pos="0"/>
        </w:tabs>
        <w:ind w:left="6480" w:hanging="1440"/>
      </w:pPr>
      <w:rPr>
        <w:rFonts w:hint="default"/>
        <w:color w:val="000000"/>
        <w:sz w:val="22"/>
      </w:rPr>
    </w:lvl>
    <w:lvl w:ilvl="8">
      <w:start w:val="1"/>
      <w:numFmt w:val="decimal"/>
      <w:lvlText w:val="%1.%2.%3.%4.%5.%6.%7.%8.%9"/>
      <w:lvlJc w:val="left"/>
      <w:pPr>
        <w:tabs>
          <w:tab w:val="num" w:pos="0"/>
        </w:tabs>
        <w:ind w:left="7200" w:hanging="1440"/>
      </w:pPr>
      <w:rPr>
        <w:rFonts w:hint="default"/>
        <w:color w:val="000000"/>
        <w:sz w:val="22"/>
      </w:rPr>
    </w:lvl>
  </w:abstractNum>
  <w:abstractNum w:abstractNumId="2">
    <w:multiLevelType w:val="hybridMultilevel"/>
    <w:tmpl w:val="78446BD6"/>
    <w:lvl w:ilvl="0">
      <w:start w:val="1"/>
      <w:numFmt w:val="bullet"/>
      <w:lvlRestart w:val="0"/>
      <w:lvlText w:val=""/>
      <w:lvlJc w:val="left"/>
      <w:pPr>
        <w:tabs>
          <w:tab w:val="num" w:pos="0"/>
        </w:tabs>
        <w:ind w:left="720" w:hanging="360"/>
      </w:pPr>
      <w:rPr>
        <w:rFonts w:ascii="Symbol" w:hAnsi="Symbol" w:hint="default"/>
      </w:rPr>
    </w:lvl>
    <w:lvl w:ilvl="1">
      <w:start w:val="2"/>
      <w:numFmt w:val="bullet"/>
      <w:lvlText w:val="•"/>
      <w:lvlJc w:val="left"/>
      <w:pPr>
        <w:tabs>
          <w:tab w:val="num" w:pos="0"/>
        </w:tabs>
        <w:ind w:left="1440" w:hanging="360"/>
      </w:pPr>
      <w:rPr>
        <w:rFonts w:ascii="Times New Roman" w:hAnsi="Times New Roman" w:eastAsia="ＭＳ 明朝" w:cs="Times New Roman" w:hint="default"/>
        <w:sz w:val="20"/>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3">
    <w:multiLevelType w:val="hybridMultilevel"/>
    <w:tmpl w:val="44943A3C"/>
    <w:lvl w:ilvl="0">
      <w:start w:val="1"/>
      <w:numFmt w:val="bullet"/>
      <w:lvlRestart w:val="0"/>
      <w:lvlText w:val=""/>
      <w:lvlJc w:val="left"/>
      <w:pPr>
        <w:tabs>
          <w:tab w:val="num" w:pos="0"/>
        </w:tabs>
        <w:ind w:left="765" w:hanging="360"/>
      </w:pPr>
      <w:rPr>
        <w:rFonts w:ascii="Symbol" w:hAnsi="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hint="default"/>
      </w:rPr>
    </w:lvl>
    <w:lvl w:ilvl="3">
      <w:start w:val="1"/>
      <w:numFmt w:val="bullet"/>
      <w:lvlText w:val=""/>
      <w:lvlJc w:val="left"/>
      <w:pPr>
        <w:tabs>
          <w:tab w:val="num" w:pos="0"/>
        </w:tabs>
        <w:ind w:left="2925" w:hanging="360"/>
      </w:pPr>
      <w:rPr>
        <w:rFonts w:ascii="Symbol" w:hAnsi="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hint="default"/>
      </w:rPr>
    </w:lvl>
    <w:lvl w:ilvl="6">
      <w:start w:val="1"/>
      <w:numFmt w:val="bullet"/>
      <w:lvlText w:val=""/>
      <w:lvlJc w:val="left"/>
      <w:pPr>
        <w:tabs>
          <w:tab w:val="num" w:pos="0"/>
        </w:tabs>
        <w:ind w:left="5085" w:hanging="360"/>
      </w:pPr>
      <w:rPr>
        <w:rFonts w:ascii="Symbol" w:hAnsi="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hint="default"/>
      </w:rPr>
    </w:lvl>
  </w:abstractNum>
  <w:abstractNum w:abstractNumId="4">
    <w:multiLevelType w:val="hybridMultilevel"/>
    <w:tmpl w:val="69903ECC"/>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5">
    <w:multiLevelType w:val="hybridMultilevel"/>
    <w:tmpl w:val="21EEE962"/>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6">
    <w:multiLevelType w:val="hybridMultilevel"/>
    <w:tmpl w:val="9A36A914"/>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7">
    <w:multiLevelType w:val="hybridMultilevel"/>
    <w:tmpl w:val="16DA0F66"/>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8">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9">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10">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11">
    <w:multiLevelType w:val="singleLevel"/>
    <w:tmpl w:val="D0A62B40"/>
    <w:lvl w:ilvl="0">
      <w:start w:val="1"/>
      <w:numFmt w:val="decimal"/>
      <w:lvlRestart w:val="0"/>
      <w:pStyle w:val="30"/>
      <w:lvlText w:val="%1."/>
      <w:lvlJc w:val="left"/>
      <w:pPr>
        <w:tabs>
          <w:tab w:val="num" w:pos="360"/>
        </w:tabs>
        <w:ind w:left="360" w:hanging="360"/>
      </w:pPr>
    </w:lvl>
  </w:abstractNum>
  <w:abstractNum w:abstractNumId="12">
    <w:multiLevelType w:val="singleLevel"/>
    <w:tmpl w:val="38441652"/>
    <w:lvl w:ilvl="0">
      <w:start w:val="1"/>
      <w:numFmt w:val="decimal"/>
      <w:lvlRestart w:val="0"/>
      <w:pStyle w:val="31"/>
      <w:lvlText w:val="%1."/>
      <w:lvlJc w:val="left"/>
      <w:pPr>
        <w:tabs>
          <w:tab w:val="num" w:pos="720"/>
        </w:tabs>
        <w:ind w:left="720" w:hanging="360"/>
      </w:pPr>
    </w:lvl>
  </w:abstractNum>
  <w:abstractNum w:abstractNumId="13">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7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mbria" w:eastAsia="ＭＳ 明朝" w:cs="Arial" w:hAnsi="Cambria"/>
      <w:sz w:val="22"/>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9"/>
      </w:numPr>
      <w:contextualSpacing/>
    </w:pPr>
  </w:style>
  <w:style w:type="paragraph" w:styleId="28">
    <w:name w:val="List Bullet 2"/>
    <w:basedOn w:val="0"/>
    <w:pPr>
      <w:numPr>
        <w:ilvl w:val="0"/>
        <w:numId w:val="10"/>
      </w:numPr>
      <w:contextualSpacing/>
    </w:pPr>
  </w:style>
  <w:style w:type="paragraph" w:styleId="29">
    <w:name w:val="List Bullet 3"/>
    <w:basedOn w:val="0"/>
    <w:pPr>
      <w:numPr>
        <w:ilvl w:val="0"/>
        <w:numId w:val="11"/>
      </w:numPr>
      <w:contextualSpacing/>
    </w:pPr>
  </w:style>
  <w:style w:type="paragraph" w:styleId="30">
    <w:name w:val="List Number"/>
    <w:basedOn w:val="0"/>
    <w:pPr>
      <w:numPr>
        <w:ilvl w:val="0"/>
        <w:numId w:val="12"/>
      </w:numPr>
      <w:contextualSpacing/>
    </w:pPr>
  </w:style>
  <w:style w:type="paragraph" w:styleId="31">
    <w:name w:val="List Number 2"/>
    <w:basedOn w:val="0"/>
    <w:pPr>
      <w:numPr>
        <w:ilvl w:val="0"/>
        <w:numId w:val="13"/>
      </w:numPr>
      <w:contextualSpacing/>
    </w:pPr>
  </w:style>
  <w:style w:type="paragraph" w:styleId="32">
    <w:name w:val="List Number 3"/>
    <w:basedOn w:val="0"/>
    <w:pPr>
      <w:numPr>
        <w:ilvl w:val="0"/>
        <w:numId w:val="14"/>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styles" Target="styles.xml"/><Relationship Id="rId9" Type="http://schemas.openxmlformats.org/officeDocument/2006/relationships/numbering" Target="numbering.xml"/><Relationship Id="rId10" Type="http://schemas.openxmlformats.org/officeDocument/2006/relationships/fontTable" Target="fontTable.xml"/></Relationships>
</file>

<file path=docProps/app.xml><?xml version="1.0" encoding="utf-8"?>
<Properties xmlns="http://schemas.openxmlformats.org/officeDocument/2006/extended-properties">
  <Template>Normal.eit</Template>
  <TotalTime>129</TotalTime>
  <Application>Honor_Office</Application>
  <Pages>26</Pages>
  <Words>4758</Words>
  <Characters>28413</Characters>
  <Lines>1662</Lines>
  <Paragraphs>701</Paragraphs>
  <CharactersWithSpaces>32481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HONOR Docs</cp:lastModifiedBy>
  <cp:revision>4</cp:revision>
  <dcterms:created xsi:type="dcterms:W3CDTF">2013-12-23T23:15:00Z</dcterms:created>
  <dcterms:modified xsi:type="dcterms:W3CDTF">2026-10-07T11:09:54Z</dcterms:modified>
</cp:coreProperties>
</file>