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610B" w:rsidRPr="0001610B" w:rsidRDefault="0001610B" w:rsidP="0001610B">
      <w:pPr>
        <w:ind w:left="408" w:hanging="360"/>
        <w:jc w:val="center"/>
        <w:rPr>
          <w:b/>
          <w:bCs/>
          <w:sz w:val="28"/>
          <w:szCs w:val="28"/>
        </w:rPr>
      </w:pPr>
      <w:r w:rsidRPr="0001610B">
        <w:rPr>
          <w:b/>
          <w:bCs/>
          <w:sz w:val="28"/>
          <w:szCs w:val="28"/>
        </w:rPr>
        <w:t>MEDIBUDDY PROJECT ANALYSIS REPORT</w:t>
      </w:r>
    </w:p>
    <w:p w:rsidR="00202EFA" w:rsidRDefault="00C018AA" w:rsidP="00202EFA">
      <w:pPr>
        <w:pStyle w:val="ListParagraph"/>
        <w:numPr>
          <w:ilvl w:val="0"/>
          <w:numId w:val="2"/>
        </w:numPr>
        <w:ind w:left="270" w:hanging="222"/>
        <w:rPr>
          <w:b/>
          <w:bCs/>
          <w:sz w:val="24"/>
          <w:szCs w:val="24"/>
        </w:rPr>
      </w:pPr>
      <w:r w:rsidRPr="00C018AA">
        <w:rPr>
          <w:b/>
          <w:bCs/>
          <w:sz w:val="24"/>
          <w:szCs w:val="24"/>
        </w:rPr>
        <w:t xml:space="preserve">Does the gender of the person matter for the company as a constraint for extending policies? </w:t>
      </w:r>
    </w:p>
    <w:p w:rsidR="00202EFA" w:rsidRPr="00202EFA" w:rsidRDefault="00202EFA" w:rsidP="00202EFA">
      <w:pPr>
        <w:ind w:left="48"/>
        <w:rPr>
          <w:b/>
          <w:bCs/>
          <w:sz w:val="24"/>
          <w:szCs w:val="24"/>
        </w:rPr>
      </w:pPr>
      <w:r>
        <w:t xml:space="preserve">The </w:t>
      </w:r>
      <w:r>
        <w:rPr>
          <w:rStyle w:val="Strong"/>
        </w:rPr>
        <w:t>average insurance charges</w:t>
      </w:r>
      <w:r>
        <w:t xml:space="preserve"> are:</w:t>
      </w:r>
    </w:p>
    <w:p w:rsidR="00202EFA" w:rsidRDefault="00202EFA" w:rsidP="00202EFA">
      <w:pPr>
        <w:numPr>
          <w:ilvl w:val="0"/>
          <w:numId w:val="14"/>
        </w:numPr>
        <w:spacing w:before="100" w:beforeAutospacing="1" w:after="100" w:afterAutospacing="1" w:line="240" w:lineRule="auto"/>
      </w:pPr>
      <w:r>
        <w:rPr>
          <w:rStyle w:val="Strong"/>
        </w:rPr>
        <w:t>Female</w:t>
      </w:r>
      <w:r>
        <w:t>: ₹12,569.58</w:t>
      </w:r>
    </w:p>
    <w:p w:rsidR="00202EFA" w:rsidRDefault="00202EFA" w:rsidP="00202EFA">
      <w:pPr>
        <w:numPr>
          <w:ilvl w:val="0"/>
          <w:numId w:val="14"/>
        </w:numPr>
        <w:spacing w:before="100" w:beforeAutospacing="1" w:after="100" w:afterAutospacing="1" w:line="240" w:lineRule="auto"/>
      </w:pPr>
      <w:r>
        <w:rPr>
          <w:rStyle w:val="Strong"/>
        </w:rPr>
        <w:t>Male</w:t>
      </w:r>
      <w:r>
        <w:t>: ₹13,956.75</w:t>
      </w:r>
    </w:p>
    <w:p w:rsidR="00202EFA" w:rsidRDefault="00202EFA" w:rsidP="00202EFA">
      <w:pPr>
        <w:numPr>
          <w:ilvl w:val="0"/>
          <w:numId w:val="14"/>
        </w:numPr>
        <w:spacing w:before="100" w:beforeAutospacing="1" w:after="100" w:afterAutospacing="1" w:line="240" w:lineRule="auto"/>
      </w:pPr>
      <w:r>
        <w:rPr>
          <w:rStyle w:val="Strong"/>
        </w:rPr>
        <w:t>Overall Average</w:t>
      </w:r>
      <w:r>
        <w:t>: ₹13,270.42</w:t>
      </w:r>
    </w:p>
    <w:p w:rsidR="00202EFA" w:rsidRPr="003650C0" w:rsidRDefault="00202EFA" w:rsidP="00202EFA">
      <w:pPr>
        <w:pStyle w:val="Heading3"/>
        <w:rPr>
          <w:color w:val="000000" w:themeColor="text1"/>
          <w:sz w:val="22"/>
          <w:szCs w:val="22"/>
        </w:rPr>
      </w:pPr>
      <w:r w:rsidRPr="003650C0">
        <w:rPr>
          <w:rStyle w:val="Strong"/>
          <w:color w:val="000000" w:themeColor="text1"/>
          <w:sz w:val="22"/>
          <w:szCs w:val="22"/>
        </w:rPr>
        <w:t>Conclusion</w:t>
      </w:r>
      <w:r w:rsidR="003650C0">
        <w:rPr>
          <w:rStyle w:val="Strong"/>
          <w:color w:val="000000" w:themeColor="text1"/>
          <w:sz w:val="22"/>
          <w:szCs w:val="22"/>
        </w:rPr>
        <w:t>:-</w:t>
      </w:r>
    </w:p>
    <w:p w:rsidR="00202EFA" w:rsidRDefault="00202EFA" w:rsidP="00202EFA">
      <w:pPr>
        <w:spacing w:before="100" w:beforeAutospacing="1" w:after="100" w:afterAutospacing="1"/>
      </w:pPr>
      <w:r>
        <w:t xml:space="preserve">The </w:t>
      </w:r>
      <w:r>
        <w:rPr>
          <w:rStyle w:val="Strong"/>
        </w:rPr>
        <w:t>difference in average charges between males and females is minor</w:t>
      </w:r>
      <w:r>
        <w:t xml:space="preserve"> (₹1,387.17), indicating that </w:t>
      </w:r>
      <w:r>
        <w:rPr>
          <w:rStyle w:val="Strong"/>
        </w:rPr>
        <w:t>gender does not       significantly impact insurance costs</w:t>
      </w:r>
      <w:r>
        <w:t xml:space="preserve">. Since insurance charges are primarily influenced by </w:t>
      </w:r>
      <w:r>
        <w:rPr>
          <w:rStyle w:val="Strong"/>
        </w:rPr>
        <w:t>health factors like BMI, smoking status, and age</w:t>
      </w:r>
      <w:r>
        <w:t xml:space="preserve">, gender should </w:t>
      </w:r>
      <w:r>
        <w:rPr>
          <w:rStyle w:val="Strong"/>
        </w:rPr>
        <w:t>not be a constraint for extending policies</w:t>
      </w:r>
      <w:r>
        <w:t>.</w:t>
      </w:r>
    </w:p>
    <w:p w:rsidR="00202EFA" w:rsidRDefault="00202EFA" w:rsidP="00202EFA">
      <w:pPr>
        <w:spacing w:before="100" w:beforeAutospacing="1" w:after="100" w:afterAutospacing="1"/>
      </w:pPr>
      <w:proofErr w:type="spellStart"/>
      <w:r>
        <w:t>MediBuddy</w:t>
      </w:r>
      <w:proofErr w:type="spellEnd"/>
      <w:r>
        <w:t xml:space="preserve"> should focus on </w:t>
      </w:r>
      <w:r>
        <w:rPr>
          <w:rStyle w:val="Strong"/>
        </w:rPr>
        <w:t>medical risk factors rather than gender</w:t>
      </w:r>
      <w:r>
        <w:t xml:space="preserve"> when determining policy eligibility.</w:t>
      </w:r>
    </w:p>
    <w:p w:rsidR="00C018AA" w:rsidRDefault="00C018AA" w:rsidP="00C018AA">
      <w:pPr>
        <w:pStyle w:val="ListParagraph"/>
        <w:ind w:left="408"/>
      </w:pPr>
    </w:p>
    <w:p w:rsidR="00625A16" w:rsidRDefault="00625A16" w:rsidP="00C018AA">
      <w:pPr>
        <w:pStyle w:val="ListParagraph"/>
        <w:ind w:left="408"/>
      </w:pPr>
      <w:r>
        <w:t xml:space="preserve">           </w:t>
      </w:r>
      <w:r w:rsidRPr="00625A16">
        <w:drawing>
          <wp:inline distT="0" distB="0" distL="0" distR="0">
            <wp:extent cx="2828059" cy="2078182"/>
            <wp:effectExtent l="19050" t="0" r="10391" b="0"/>
            <wp:docPr id="5"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Pr="00625A16">
        <w:drawing>
          <wp:anchor distT="0" distB="0" distL="114300" distR="114300" simplePos="0" relativeHeight="251667456" behindDoc="0" locked="0" layoutInCell="1" allowOverlap="1">
            <wp:simplePos x="0" y="0"/>
            <wp:positionH relativeFrom="column">
              <wp:posOffset>219710</wp:posOffset>
            </wp:positionH>
            <wp:positionV relativeFrom="paragraph">
              <wp:posOffset>182880</wp:posOffset>
            </wp:positionV>
            <wp:extent cx="2881630" cy="1935480"/>
            <wp:effectExtent l="19050" t="0" r="13970" b="762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p>
    <w:p w:rsidR="00625A16" w:rsidRDefault="00625A16" w:rsidP="00C018AA">
      <w:pPr>
        <w:pStyle w:val="ListParagraph"/>
        <w:ind w:left="408"/>
      </w:pPr>
    </w:p>
    <w:p w:rsidR="00C018AA" w:rsidRPr="00C018AA" w:rsidRDefault="00625A16" w:rsidP="00C018AA">
      <w:pPr>
        <w:pStyle w:val="ListParagraph"/>
        <w:ind w:left="408"/>
      </w:pPr>
      <w:r>
        <w:br w:type="textWrapping" w:clear="all"/>
      </w:r>
    </w:p>
    <w:p w:rsidR="00911920" w:rsidRDefault="00911920" w:rsidP="00C018AA"/>
    <w:p w:rsidR="00EB72EB" w:rsidRPr="00EB72EB" w:rsidRDefault="00EB72EB" w:rsidP="00EB72EB"/>
    <w:p w:rsidR="00C018AA" w:rsidRPr="00EB72EB" w:rsidRDefault="00EB72EB" w:rsidP="00EB72EB">
      <w:pPr>
        <w:pStyle w:val="ListParagraph"/>
        <w:numPr>
          <w:ilvl w:val="0"/>
          <w:numId w:val="2"/>
        </w:numPr>
        <w:rPr>
          <w:b/>
          <w:bCs/>
          <w:sz w:val="24"/>
          <w:szCs w:val="24"/>
        </w:rPr>
      </w:pPr>
      <w:r w:rsidRPr="00EB72EB">
        <w:rPr>
          <w:b/>
          <w:bCs/>
          <w:sz w:val="24"/>
          <w:szCs w:val="24"/>
        </w:rPr>
        <w:t xml:space="preserve">What is the average amount of money the company spent over each policy cover? </w:t>
      </w:r>
    </w:p>
    <w:p w:rsidR="00202EFA" w:rsidRDefault="00202EFA" w:rsidP="00202EFA">
      <w:pPr>
        <w:spacing w:before="100" w:beforeAutospacing="1" w:after="100" w:afterAutospacing="1"/>
      </w:pPr>
      <w:r>
        <w:t xml:space="preserve">The </w:t>
      </w:r>
      <w:r>
        <w:rPr>
          <w:rStyle w:val="Strong"/>
        </w:rPr>
        <w:t>company's average expenditure per policy cover</w:t>
      </w:r>
      <w:r>
        <w:t xml:space="preserve"> is </w:t>
      </w:r>
      <w:r>
        <w:rPr>
          <w:rStyle w:val="Strong"/>
        </w:rPr>
        <w:t>₹13,270.42</w:t>
      </w:r>
      <w:r>
        <w:t xml:space="preserve">. This value represents the </w:t>
      </w:r>
      <w:r>
        <w:rPr>
          <w:rStyle w:val="Strong"/>
        </w:rPr>
        <w:t>mean insurance charges paid by customers</w:t>
      </w:r>
      <w:r>
        <w:t xml:space="preserve">, considering various factors such as </w:t>
      </w:r>
      <w:r>
        <w:rPr>
          <w:rStyle w:val="Strong"/>
        </w:rPr>
        <w:t>age, BMI, smoking status, gender, and dependents</w:t>
      </w:r>
      <w:r>
        <w:t>.</w:t>
      </w:r>
    </w:p>
    <w:p w:rsidR="00202EFA" w:rsidRPr="003650C0" w:rsidRDefault="00202EFA" w:rsidP="00202EFA">
      <w:pPr>
        <w:pStyle w:val="Heading3"/>
        <w:rPr>
          <w:color w:val="000000" w:themeColor="text1"/>
          <w:sz w:val="22"/>
          <w:szCs w:val="22"/>
        </w:rPr>
      </w:pPr>
      <w:r w:rsidRPr="003650C0">
        <w:rPr>
          <w:rStyle w:val="Strong"/>
          <w:color w:val="000000" w:themeColor="text1"/>
          <w:sz w:val="22"/>
          <w:szCs w:val="22"/>
        </w:rPr>
        <w:t>Key Observations:</w:t>
      </w:r>
    </w:p>
    <w:p w:rsidR="00202EFA" w:rsidRDefault="00202EFA" w:rsidP="00202EFA">
      <w:pPr>
        <w:numPr>
          <w:ilvl w:val="0"/>
          <w:numId w:val="15"/>
        </w:numPr>
        <w:spacing w:before="100" w:beforeAutospacing="1" w:after="100" w:afterAutospacing="1" w:line="240" w:lineRule="auto"/>
      </w:pPr>
      <w:r>
        <w:t xml:space="preserve">The </w:t>
      </w:r>
      <w:r>
        <w:rPr>
          <w:rStyle w:val="Strong"/>
        </w:rPr>
        <w:t>average policy cost</w:t>
      </w:r>
      <w:r>
        <w:t xml:space="preserve"> helps the company understand its </w:t>
      </w:r>
      <w:r>
        <w:rPr>
          <w:rStyle w:val="Strong"/>
        </w:rPr>
        <w:t>typical claim expenses</w:t>
      </w:r>
      <w:r>
        <w:t>.</w:t>
      </w:r>
    </w:p>
    <w:p w:rsidR="00202EFA" w:rsidRDefault="00202EFA" w:rsidP="00202EFA">
      <w:pPr>
        <w:numPr>
          <w:ilvl w:val="0"/>
          <w:numId w:val="15"/>
        </w:numPr>
        <w:spacing w:before="100" w:beforeAutospacing="1" w:after="100" w:afterAutospacing="1" w:line="240" w:lineRule="auto"/>
      </w:pPr>
      <w:r>
        <w:t xml:space="preserve">Higher costs may be </w:t>
      </w:r>
      <w:r>
        <w:rPr>
          <w:rStyle w:val="Strong"/>
        </w:rPr>
        <w:t>linked to high-risk individuals</w:t>
      </w:r>
      <w:r>
        <w:t xml:space="preserve"> (e.g., smokers or older individuals).</w:t>
      </w:r>
    </w:p>
    <w:p w:rsidR="00202EFA" w:rsidRDefault="00202EFA" w:rsidP="00202EFA">
      <w:pPr>
        <w:numPr>
          <w:ilvl w:val="0"/>
          <w:numId w:val="15"/>
        </w:numPr>
        <w:spacing w:before="100" w:beforeAutospacing="1" w:after="100" w:afterAutospacing="1" w:line="240" w:lineRule="auto"/>
      </w:pPr>
      <w:r>
        <w:t xml:space="preserve">The company can use this insight to </w:t>
      </w:r>
      <w:r>
        <w:rPr>
          <w:rStyle w:val="Strong"/>
        </w:rPr>
        <w:t>optimize premium pricing and risk assessment</w:t>
      </w:r>
      <w:r>
        <w:t>.</w:t>
      </w:r>
    </w:p>
    <w:p w:rsidR="00202EFA" w:rsidRDefault="00202EFA" w:rsidP="00202EFA">
      <w:pPr>
        <w:spacing w:before="100" w:beforeAutospacing="1" w:after="100" w:afterAutospacing="1"/>
      </w:pPr>
      <w:r>
        <w:t xml:space="preserve">This information is crucial for </w:t>
      </w:r>
      <w:r>
        <w:rPr>
          <w:rStyle w:val="Strong"/>
        </w:rPr>
        <w:t>future policy adjustments</w:t>
      </w:r>
      <w:r>
        <w:t xml:space="preserve">, helping </w:t>
      </w:r>
      <w:proofErr w:type="spellStart"/>
      <w:r>
        <w:t>MediBuddy</w:t>
      </w:r>
      <w:proofErr w:type="spellEnd"/>
      <w:r>
        <w:t xml:space="preserve"> balance </w:t>
      </w:r>
      <w:r>
        <w:rPr>
          <w:rStyle w:val="Strong"/>
        </w:rPr>
        <w:t>customer affordability and profitability</w:t>
      </w:r>
      <w:r>
        <w:t xml:space="preserve"> while ensuring </w:t>
      </w:r>
      <w:r>
        <w:rPr>
          <w:rStyle w:val="Strong"/>
        </w:rPr>
        <w:t>financial sustainability</w:t>
      </w:r>
      <w:r>
        <w:t xml:space="preserve">. </w:t>
      </w:r>
    </w:p>
    <w:p w:rsidR="00202EFA" w:rsidRDefault="00202EFA" w:rsidP="00202EFA"/>
    <w:p w:rsidR="0015212C" w:rsidRPr="00202EFA" w:rsidRDefault="0015212C" w:rsidP="00202EFA">
      <w:pPr>
        <w:pStyle w:val="ListParagraph"/>
        <w:numPr>
          <w:ilvl w:val="0"/>
          <w:numId w:val="2"/>
        </w:numPr>
        <w:rPr>
          <w:b/>
          <w:bCs/>
        </w:rPr>
      </w:pPr>
      <w:r w:rsidRPr="00202EFA">
        <w:rPr>
          <w:b/>
          <w:bCs/>
        </w:rPr>
        <w:lastRenderedPageBreak/>
        <w:t xml:space="preserve">Could you advice if the company needs to offer separate policies based upon the geographic location of the person? </w:t>
      </w:r>
    </w:p>
    <w:p w:rsidR="005C3A61" w:rsidRPr="005C3A61" w:rsidRDefault="005C3A61" w:rsidP="005C3A61">
      <w:pPr>
        <w:pStyle w:val="Heading3"/>
        <w:rPr>
          <w:color w:val="000000" w:themeColor="text1"/>
          <w:sz w:val="22"/>
          <w:szCs w:val="22"/>
        </w:rPr>
      </w:pPr>
      <w:r w:rsidRPr="005C3A61">
        <w:rPr>
          <w:color w:val="000000" w:themeColor="text1"/>
          <w:sz w:val="22"/>
          <w:szCs w:val="22"/>
        </w:rPr>
        <w:t xml:space="preserve">The </w:t>
      </w:r>
      <w:r w:rsidRPr="005C3A61">
        <w:rPr>
          <w:rStyle w:val="Strong"/>
          <w:color w:val="000000" w:themeColor="text1"/>
          <w:sz w:val="22"/>
          <w:szCs w:val="22"/>
        </w:rPr>
        <w:t>average insurance charges by region</w:t>
      </w:r>
      <w:r w:rsidRPr="005C3A61">
        <w:rPr>
          <w:color w:val="000000" w:themeColor="text1"/>
          <w:sz w:val="22"/>
          <w:szCs w:val="22"/>
        </w:rPr>
        <w:t xml:space="preserve"> are:</w:t>
      </w:r>
    </w:p>
    <w:p w:rsidR="005C3A61" w:rsidRPr="005C3A61" w:rsidRDefault="005C3A61" w:rsidP="005C3A61">
      <w:pPr>
        <w:pStyle w:val="NormalWeb"/>
        <w:numPr>
          <w:ilvl w:val="0"/>
          <w:numId w:val="16"/>
        </w:numPr>
        <w:rPr>
          <w:sz w:val="22"/>
          <w:szCs w:val="22"/>
        </w:rPr>
      </w:pPr>
      <w:r w:rsidRPr="005C3A61">
        <w:rPr>
          <w:rStyle w:val="Strong"/>
          <w:rFonts w:eastAsiaTheme="majorEastAsia"/>
          <w:sz w:val="22"/>
          <w:szCs w:val="22"/>
        </w:rPr>
        <w:t>Northeast</w:t>
      </w:r>
      <w:r w:rsidRPr="005C3A61">
        <w:rPr>
          <w:sz w:val="22"/>
          <w:szCs w:val="22"/>
        </w:rPr>
        <w:t xml:space="preserve"> → ₹13,406.38</w:t>
      </w:r>
    </w:p>
    <w:p w:rsidR="005C3A61" w:rsidRPr="005C3A61" w:rsidRDefault="005C3A61" w:rsidP="005C3A61">
      <w:pPr>
        <w:pStyle w:val="NormalWeb"/>
        <w:numPr>
          <w:ilvl w:val="0"/>
          <w:numId w:val="16"/>
        </w:numPr>
        <w:rPr>
          <w:sz w:val="22"/>
          <w:szCs w:val="22"/>
        </w:rPr>
      </w:pPr>
      <w:r w:rsidRPr="005C3A61">
        <w:rPr>
          <w:rStyle w:val="Strong"/>
          <w:rFonts w:eastAsiaTheme="majorEastAsia"/>
          <w:sz w:val="22"/>
          <w:szCs w:val="22"/>
        </w:rPr>
        <w:t>Northwest</w:t>
      </w:r>
      <w:r w:rsidRPr="005C3A61">
        <w:rPr>
          <w:sz w:val="22"/>
          <w:szCs w:val="22"/>
        </w:rPr>
        <w:t xml:space="preserve"> → ₹12,417.58</w:t>
      </w:r>
    </w:p>
    <w:p w:rsidR="005C3A61" w:rsidRPr="005C3A61" w:rsidRDefault="005C3A61" w:rsidP="005C3A61">
      <w:pPr>
        <w:pStyle w:val="NormalWeb"/>
        <w:numPr>
          <w:ilvl w:val="0"/>
          <w:numId w:val="16"/>
        </w:numPr>
        <w:rPr>
          <w:sz w:val="22"/>
          <w:szCs w:val="22"/>
        </w:rPr>
      </w:pPr>
      <w:r w:rsidRPr="005C3A61">
        <w:rPr>
          <w:rStyle w:val="Strong"/>
          <w:rFonts w:eastAsiaTheme="majorEastAsia"/>
          <w:sz w:val="22"/>
          <w:szCs w:val="22"/>
        </w:rPr>
        <w:t>Southeast</w:t>
      </w:r>
      <w:r w:rsidRPr="005C3A61">
        <w:rPr>
          <w:sz w:val="22"/>
          <w:szCs w:val="22"/>
        </w:rPr>
        <w:t xml:space="preserve"> → ₹14,735.41 (Highest)</w:t>
      </w:r>
    </w:p>
    <w:p w:rsidR="005C3A61" w:rsidRPr="005C3A61" w:rsidRDefault="005C3A61" w:rsidP="005C3A61">
      <w:pPr>
        <w:pStyle w:val="NormalWeb"/>
        <w:numPr>
          <w:ilvl w:val="0"/>
          <w:numId w:val="16"/>
        </w:numPr>
        <w:rPr>
          <w:sz w:val="22"/>
          <w:szCs w:val="22"/>
        </w:rPr>
      </w:pPr>
      <w:r w:rsidRPr="005C3A61">
        <w:rPr>
          <w:rStyle w:val="Strong"/>
          <w:rFonts w:eastAsiaTheme="majorEastAsia"/>
          <w:sz w:val="22"/>
          <w:szCs w:val="22"/>
        </w:rPr>
        <w:t>Southwest</w:t>
      </w:r>
      <w:r w:rsidRPr="005C3A61">
        <w:rPr>
          <w:sz w:val="22"/>
          <w:szCs w:val="22"/>
        </w:rPr>
        <w:t xml:space="preserve"> → ₹12,346.94 (Lowest)</w:t>
      </w:r>
    </w:p>
    <w:p w:rsidR="005C3A61" w:rsidRPr="003650C0" w:rsidRDefault="005C3A61" w:rsidP="005C3A61">
      <w:pPr>
        <w:pStyle w:val="Heading3"/>
        <w:rPr>
          <w:color w:val="000000" w:themeColor="text1"/>
          <w:sz w:val="22"/>
          <w:szCs w:val="22"/>
        </w:rPr>
      </w:pPr>
      <w:r w:rsidRPr="003650C0">
        <w:rPr>
          <w:rStyle w:val="Strong"/>
          <w:color w:val="000000" w:themeColor="text1"/>
          <w:sz w:val="22"/>
          <w:szCs w:val="22"/>
        </w:rPr>
        <w:t>Conclusion &amp; Recommendation</w:t>
      </w:r>
      <w:r w:rsidR="003650C0">
        <w:rPr>
          <w:rStyle w:val="Strong"/>
          <w:color w:val="000000" w:themeColor="text1"/>
          <w:sz w:val="22"/>
          <w:szCs w:val="22"/>
        </w:rPr>
        <w:t>:-</w:t>
      </w:r>
    </w:p>
    <w:p w:rsidR="005C3A61" w:rsidRDefault="005C3A61" w:rsidP="005C3A61">
      <w:pPr>
        <w:pStyle w:val="NormalWeb"/>
        <w:numPr>
          <w:ilvl w:val="0"/>
          <w:numId w:val="16"/>
        </w:numPr>
        <w:rPr>
          <w:sz w:val="22"/>
          <w:szCs w:val="22"/>
        </w:rPr>
      </w:pPr>
      <w:r w:rsidRPr="005C3A61">
        <w:rPr>
          <w:rStyle w:val="Strong"/>
          <w:rFonts w:eastAsiaTheme="majorEastAsia"/>
          <w:sz w:val="22"/>
          <w:szCs w:val="22"/>
        </w:rPr>
        <w:t>Yes, the company should consider location-based policies</w:t>
      </w:r>
      <w:r w:rsidRPr="005C3A61">
        <w:rPr>
          <w:sz w:val="22"/>
          <w:szCs w:val="22"/>
        </w:rPr>
        <w:t xml:space="preserve"> as insura</w:t>
      </w:r>
      <w:r>
        <w:rPr>
          <w:sz w:val="22"/>
          <w:szCs w:val="22"/>
        </w:rPr>
        <w:t>nce charges vary across regions.</w:t>
      </w:r>
    </w:p>
    <w:p w:rsidR="005C3A61" w:rsidRDefault="005C3A61" w:rsidP="005C3A61">
      <w:pPr>
        <w:pStyle w:val="NormalWeb"/>
        <w:numPr>
          <w:ilvl w:val="0"/>
          <w:numId w:val="16"/>
        </w:numPr>
        <w:rPr>
          <w:sz w:val="22"/>
          <w:szCs w:val="22"/>
        </w:rPr>
      </w:pPr>
      <w:r w:rsidRPr="005C3A61">
        <w:rPr>
          <w:sz w:val="22"/>
          <w:szCs w:val="22"/>
        </w:rPr>
        <w:t xml:space="preserve"> The </w:t>
      </w:r>
      <w:r w:rsidRPr="005C3A61">
        <w:rPr>
          <w:rStyle w:val="Strong"/>
          <w:rFonts w:eastAsiaTheme="majorEastAsia"/>
          <w:sz w:val="22"/>
          <w:szCs w:val="22"/>
        </w:rPr>
        <w:t>Southeast region has the highest average charges</w:t>
      </w:r>
      <w:r w:rsidRPr="005C3A61">
        <w:rPr>
          <w:sz w:val="22"/>
          <w:szCs w:val="22"/>
        </w:rPr>
        <w:t>, indicating higher medical expenses or risk factors</w:t>
      </w:r>
    </w:p>
    <w:p w:rsidR="005C3A61" w:rsidRDefault="005C3A61" w:rsidP="005C3A61">
      <w:pPr>
        <w:pStyle w:val="NormalWeb"/>
        <w:numPr>
          <w:ilvl w:val="0"/>
          <w:numId w:val="16"/>
        </w:numPr>
        <w:rPr>
          <w:sz w:val="22"/>
          <w:szCs w:val="22"/>
        </w:rPr>
      </w:pPr>
      <w:r w:rsidRPr="005C3A61">
        <w:rPr>
          <w:sz w:val="22"/>
          <w:szCs w:val="22"/>
        </w:rPr>
        <w:t xml:space="preserve"> </w:t>
      </w:r>
      <w:r w:rsidRPr="005C3A61">
        <w:rPr>
          <w:rStyle w:val="Strong"/>
          <w:rFonts w:eastAsiaTheme="majorEastAsia"/>
          <w:sz w:val="22"/>
          <w:szCs w:val="22"/>
        </w:rPr>
        <w:t>Northwest and Southwest have lower charges</w:t>
      </w:r>
      <w:r w:rsidRPr="005C3A61">
        <w:rPr>
          <w:sz w:val="22"/>
          <w:szCs w:val="22"/>
        </w:rPr>
        <w:t>, suggesting lower healthcare costs or risks.</w:t>
      </w:r>
    </w:p>
    <w:p w:rsidR="005C3A61" w:rsidRPr="005C3A61" w:rsidRDefault="005C3A61" w:rsidP="005C3A61">
      <w:pPr>
        <w:pStyle w:val="NormalWeb"/>
        <w:numPr>
          <w:ilvl w:val="0"/>
          <w:numId w:val="16"/>
        </w:numPr>
        <w:rPr>
          <w:sz w:val="22"/>
          <w:szCs w:val="22"/>
        </w:rPr>
      </w:pPr>
      <w:r w:rsidRPr="005C3A61">
        <w:rPr>
          <w:sz w:val="22"/>
          <w:szCs w:val="22"/>
        </w:rPr>
        <w:t xml:space="preserve">The company can introduce </w:t>
      </w:r>
      <w:r w:rsidRPr="005C3A61">
        <w:rPr>
          <w:rStyle w:val="Strong"/>
          <w:rFonts w:eastAsiaTheme="majorEastAsia"/>
          <w:sz w:val="22"/>
          <w:szCs w:val="22"/>
        </w:rPr>
        <w:t>regional pricing strategies</w:t>
      </w:r>
      <w:r w:rsidRPr="005C3A61">
        <w:rPr>
          <w:sz w:val="22"/>
          <w:szCs w:val="22"/>
        </w:rPr>
        <w:t xml:space="preserve">, such as </w:t>
      </w:r>
      <w:r w:rsidRPr="005C3A61">
        <w:rPr>
          <w:rStyle w:val="Strong"/>
          <w:rFonts w:eastAsiaTheme="majorEastAsia"/>
          <w:sz w:val="22"/>
          <w:szCs w:val="22"/>
        </w:rPr>
        <w:t>higher premiums in high-cost regions</w:t>
      </w:r>
      <w:r w:rsidRPr="005C3A61">
        <w:rPr>
          <w:sz w:val="22"/>
          <w:szCs w:val="22"/>
        </w:rPr>
        <w:t xml:space="preserve"> and </w:t>
      </w:r>
      <w:r w:rsidRPr="005C3A61">
        <w:rPr>
          <w:rStyle w:val="Strong"/>
          <w:rFonts w:eastAsiaTheme="majorEastAsia"/>
          <w:sz w:val="22"/>
          <w:szCs w:val="22"/>
        </w:rPr>
        <w:t>discounts in low-risk areas</w:t>
      </w:r>
      <w:r w:rsidRPr="005C3A61">
        <w:rPr>
          <w:sz w:val="22"/>
          <w:szCs w:val="22"/>
        </w:rPr>
        <w:t xml:space="preserve"> to ensure fair pricing and profitability. </w:t>
      </w:r>
    </w:p>
    <w:p w:rsidR="00384385" w:rsidRPr="0015212C" w:rsidRDefault="005C3A61" w:rsidP="00384385">
      <w:pPr>
        <w:pStyle w:val="ListParagraph"/>
        <w:ind w:left="408"/>
        <w:rPr>
          <w:b/>
          <w:bCs/>
        </w:rPr>
      </w:pPr>
      <w:r w:rsidRPr="005C3A61">
        <w:rPr>
          <w:b/>
          <w:bCs/>
        </w:rPr>
        <w:drawing>
          <wp:inline distT="0" distB="0" distL="0" distR="0">
            <wp:extent cx="3167496" cy="2632364"/>
            <wp:effectExtent l="19050" t="0" r="13854" b="0"/>
            <wp:docPr id="6"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Pr="005C3A61">
        <w:rPr>
          <w:b/>
          <w:bCs/>
        </w:rPr>
        <w:drawing>
          <wp:inline distT="0" distB="0" distL="0" distR="0">
            <wp:extent cx="3058564" cy="2632364"/>
            <wp:effectExtent l="19050" t="0" r="27536" b="0"/>
            <wp:docPr id="7"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5212C" w:rsidRDefault="0015212C" w:rsidP="00C018AA"/>
    <w:p w:rsidR="005C3A61" w:rsidRDefault="005C3A61" w:rsidP="005C3A61">
      <w:pPr>
        <w:pStyle w:val="Default"/>
        <w:rPr>
          <w:rFonts w:asciiTheme="minorHAnsi" w:hAnsiTheme="minorHAnsi" w:cstheme="minorBidi"/>
          <w:color w:val="auto"/>
          <w:kern w:val="2"/>
          <w:sz w:val="22"/>
          <w:szCs w:val="22"/>
        </w:rPr>
      </w:pPr>
    </w:p>
    <w:p w:rsidR="000E3D45" w:rsidRPr="005C3A61" w:rsidRDefault="000E3D45" w:rsidP="005C3A61">
      <w:pPr>
        <w:pStyle w:val="Default"/>
        <w:numPr>
          <w:ilvl w:val="0"/>
          <w:numId w:val="2"/>
        </w:numPr>
      </w:pPr>
      <w:r w:rsidRPr="000E3D45">
        <w:rPr>
          <w:b/>
          <w:bCs/>
        </w:rPr>
        <w:t xml:space="preserve">Does the no. of dependents make a difference in the amount claimed? </w:t>
      </w:r>
    </w:p>
    <w:p w:rsidR="005C3A61" w:rsidRPr="005C3A61" w:rsidRDefault="005C3A61" w:rsidP="005C3A61">
      <w:pPr>
        <w:spacing w:before="100" w:beforeAutospacing="1" w:after="100" w:afterAutospacing="1"/>
      </w:pPr>
      <w:r>
        <w:t>T</w:t>
      </w:r>
      <w:r w:rsidRPr="005C3A61">
        <w:t xml:space="preserve">he </w:t>
      </w:r>
      <w:r w:rsidRPr="005C3A61">
        <w:rPr>
          <w:rStyle w:val="Strong"/>
        </w:rPr>
        <w:t>average insurance charges by number of dependents</w:t>
      </w:r>
      <w:r w:rsidRPr="005C3A61">
        <w:t xml:space="preserve"> are:</w:t>
      </w:r>
    </w:p>
    <w:p w:rsidR="005C3A61" w:rsidRPr="005C3A61" w:rsidRDefault="005C3A61" w:rsidP="005C3A61">
      <w:pPr>
        <w:numPr>
          <w:ilvl w:val="0"/>
          <w:numId w:val="17"/>
        </w:numPr>
        <w:spacing w:before="100" w:beforeAutospacing="1" w:after="100" w:afterAutospacing="1" w:line="240" w:lineRule="auto"/>
      </w:pPr>
      <w:r w:rsidRPr="005C3A61">
        <w:rPr>
          <w:rStyle w:val="Strong"/>
        </w:rPr>
        <w:t>0 dependents</w:t>
      </w:r>
      <w:r w:rsidRPr="005C3A61">
        <w:t xml:space="preserve"> → ₹12,365.98</w:t>
      </w:r>
    </w:p>
    <w:p w:rsidR="005C3A61" w:rsidRPr="005C3A61" w:rsidRDefault="005C3A61" w:rsidP="005C3A61">
      <w:pPr>
        <w:numPr>
          <w:ilvl w:val="0"/>
          <w:numId w:val="17"/>
        </w:numPr>
        <w:spacing w:before="100" w:beforeAutospacing="1" w:after="100" w:afterAutospacing="1" w:line="240" w:lineRule="auto"/>
      </w:pPr>
      <w:r w:rsidRPr="005C3A61">
        <w:rPr>
          <w:rStyle w:val="Strong"/>
        </w:rPr>
        <w:t>1 dependent</w:t>
      </w:r>
      <w:r w:rsidRPr="005C3A61">
        <w:t xml:space="preserve"> → ₹12,731.17</w:t>
      </w:r>
    </w:p>
    <w:p w:rsidR="005C3A61" w:rsidRPr="005C3A61" w:rsidRDefault="005C3A61" w:rsidP="005C3A61">
      <w:pPr>
        <w:numPr>
          <w:ilvl w:val="0"/>
          <w:numId w:val="17"/>
        </w:numPr>
        <w:spacing w:before="100" w:beforeAutospacing="1" w:after="100" w:afterAutospacing="1" w:line="240" w:lineRule="auto"/>
      </w:pPr>
      <w:r w:rsidRPr="005C3A61">
        <w:rPr>
          <w:rStyle w:val="Strong"/>
        </w:rPr>
        <w:t>2 dependents</w:t>
      </w:r>
      <w:r w:rsidRPr="005C3A61">
        <w:t xml:space="preserve"> → ₹15,073.56</w:t>
      </w:r>
    </w:p>
    <w:p w:rsidR="005C3A61" w:rsidRPr="005C3A61" w:rsidRDefault="005C3A61" w:rsidP="005C3A61">
      <w:pPr>
        <w:numPr>
          <w:ilvl w:val="0"/>
          <w:numId w:val="17"/>
        </w:numPr>
        <w:spacing w:before="100" w:beforeAutospacing="1" w:after="100" w:afterAutospacing="1" w:line="240" w:lineRule="auto"/>
      </w:pPr>
      <w:r w:rsidRPr="005C3A61">
        <w:rPr>
          <w:rStyle w:val="Strong"/>
        </w:rPr>
        <w:t>3 dependents</w:t>
      </w:r>
      <w:r w:rsidRPr="005C3A61">
        <w:t xml:space="preserve"> → ₹15,355.32 (Highest)</w:t>
      </w:r>
    </w:p>
    <w:p w:rsidR="005C3A61" w:rsidRPr="005C3A61" w:rsidRDefault="005C3A61" w:rsidP="005C3A61">
      <w:pPr>
        <w:numPr>
          <w:ilvl w:val="0"/>
          <w:numId w:val="17"/>
        </w:numPr>
        <w:spacing w:before="100" w:beforeAutospacing="1" w:after="100" w:afterAutospacing="1" w:line="240" w:lineRule="auto"/>
      </w:pPr>
      <w:r w:rsidRPr="005C3A61">
        <w:rPr>
          <w:rStyle w:val="Strong"/>
        </w:rPr>
        <w:t>4 dependents</w:t>
      </w:r>
      <w:r w:rsidRPr="005C3A61">
        <w:t xml:space="preserve"> → ₹13,850.66</w:t>
      </w:r>
    </w:p>
    <w:p w:rsidR="005C3A61" w:rsidRPr="005C3A61" w:rsidRDefault="005C3A61" w:rsidP="005C3A61">
      <w:pPr>
        <w:numPr>
          <w:ilvl w:val="0"/>
          <w:numId w:val="17"/>
        </w:numPr>
        <w:spacing w:before="100" w:beforeAutospacing="1" w:after="100" w:afterAutospacing="1" w:line="240" w:lineRule="auto"/>
      </w:pPr>
      <w:r w:rsidRPr="005C3A61">
        <w:rPr>
          <w:rStyle w:val="Strong"/>
        </w:rPr>
        <w:t>5 dependents</w:t>
      </w:r>
      <w:r w:rsidRPr="005C3A61">
        <w:t xml:space="preserve"> → ₹8,786.04 (Lowest)</w:t>
      </w:r>
    </w:p>
    <w:p w:rsidR="005C3A61" w:rsidRPr="005C3A61" w:rsidRDefault="005C3A61" w:rsidP="005C3A61">
      <w:pPr>
        <w:pStyle w:val="Heading3"/>
        <w:rPr>
          <w:color w:val="000000" w:themeColor="text1"/>
          <w:sz w:val="22"/>
          <w:szCs w:val="22"/>
        </w:rPr>
      </w:pPr>
      <w:r w:rsidRPr="005C3A61">
        <w:rPr>
          <w:color w:val="000000" w:themeColor="text1"/>
          <w:sz w:val="22"/>
          <w:szCs w:val="22"/>
        </w:rPr>
        <w:t>Insights:-</w:t>
      </w:r>
    </w:p>
    <w:p w:rsidR="005C3A61" w:rsidRPr="005C3A61" w:rsidRDefault="005C3A61" w:rsidP="005C3A61">
      <w:pPr>
        <w:pStyle w:val="ListParagraph"/>
        <w:numPr>
          <w:ilvl w:val="0"/>
          <w:numId w:val="17"/>
        </w:numPr>
        <w:spacing w:before="100" w:beforeAutospacing="1" w:after="100" w:afterAutospacing="1"/>
        <w:rPr>
          <w:rStyle w:val="Strong"/>
          <w:b w:val="0"/>
          <w:bCs w:val="0"/>
        </w:rPr>
      </w:pPr>
      <w:r w:rsidRPr="005C3A61">
        <w:rPr>
          <w:rStyle w:val="Strong"/>
        </w:rPr>
        <w:t>Yes, the number of dependents impacts the amount claimed</w:t>
      </w:r>
      <w:r>
        <w:rPr>
          <w:rStyle w:val="Strong"/>
        </w:rPr>
        <w:t xml:space="preserve">. </w:t>
      </w:r>
    </w:p>
    <w:p w:rsidR="005C3A61" w:rsidRDefault="005C3A61" w:rsidP="005C3A61">
      <w:pPr>
        <w:pStyle w:val="ListParagraph"/>
        <w:numPr>
          <w:ilvl w:val="0"/>
          <w:numId w:val="17"/>
        </w:numPr>
        <w:spacing w:before="100" w:beforeAutospacing="1" w:after="100" w:afterAutospacing="1"/>
      </w:pPr>
      <w:r w:rsidRPr="005C3A61">
        <w:rPr>
          <w:rFonts w:ascii="Calibri" w:hAnsi="Calibri" w:cs="Calibri"/>
        </w:rPr>
        <w:t>Customers with</w:t>
      </w:r>
      <w:r w:rsidRPr="005C3A61">
        <w:t xml:space="preserve"> </w:t>
      </w:r>
      <w:r w:rsidRPr="005C3A61">
        <w:rPr>
          <w:rStyle w:val="Strong"/>
        </w:rPr>
        <w:t>2-3 dependents have the highest average claims</w:t>
      </w:r>
      <w:r w:rsidRPr="005C3A61">
        <w:t xml:space="preserve">, suggesting </w:t>
      </w:r>
      <w:r w:rsidRPr="005C3A61">
        <w:rPr>
          <w:rStyle w:val="Strong"/>
        </w:rPr>
        <w:t>higher medical costs</w:t>
      </w:r>
      <w:r>
        <w:t xml:space="preserve"> for families. </w:t>
      </w:r>
    </w:p>
    <w:p w:rsidR="005C3A61" w:rsidRDefault="005C3A61" w:rsidP="005C3A61">
      <w:pPr>
        <w:pStyle w:val="ListParagraph"/>
        <w:numPr>
          <w:ilvl w:val="0"/>
          <w:numId w:val="17"/>
        </w:numPr>
        <w:spacing w:before="100" w:beforeAutospacing="1" w:after="100" w:afterAutospacing="1"/>
      </w:pPr>
      <w:r w:rsidRPr="005C3A61">
        <w:rPr>
          <w:rFonts w:ascii="Calibri" w:hAnsi="Calibri" w:cs="Calibri"/>
        </w:rPr>
        <w:t>Customers with</w:t>
      </w:r>
      <w:r w:rsidRPr="005C3A61">
        <w:t xml:space="preserve"> </w:t>
      </w:r>
      <w:r w:rsidRPr="005C3A61">
        <w:rPr>
          <w:rStyle w:val="Strong"/>
        </w:rPr>
        <w:t>5+ dependents claim the least</w:t>
      </w:r>
      <w:r w:rsidRPr="005C3A61">
        <w:t xml:space="preserve">, possibly due to </w:t>
      </w:r>
      <w:r w:rsidRPr="005C3A61">
        <w:rPr>
          <w:rStyle w:val="Strong"/>
        </w:rPr>
        <w:t>shared coverage plans</w:t>
      </w:r>
      <w:r w:rsidRPr="005C3A61">
        <w:t xml:space="preserve"> or different healthcare usage patterns.</w:t>
      </w:r>
    </w:p>
    <w:p w:rsidR="005C3A61" w:rsidRPr="005C3A61" w:rsidRDefault="005C3A61" w:rsidP="005C3A61">
      <w:pPr>
        <w:pStyle w:val="ListParagraph"/>
        <w:numPr>
          <w:ilvl w:val="0"/>
          <w:numId w:val="17"/>
        </w:numPr>
        <w:spacing w:before="100" w:beforeAutospacing="1" w:after="100" w:afterAutospacing="1"/>
      </w:pPr>
      <w:r w:rsidRPr="005C3A61">
        <w:rPr>
          <w:rFonts w:ascii="Calibri" w:hAnsi="Calibri" w:cs="Calibri"/>
        </w:rPr>
        <w:t>The company should</w:t>
      </w:r>
      <w:r w:rsidRPr="005C3A61">
        <w:t xml:space="preserve"> </w:t>
      </w:r>
      <w:r w:rsidRPr="005C3A61">
        <w:rPr>
          <w:rStyle w:val="Strong"/>
        </w:rPr>
        <w:t>introduce family-based insurance plans</w:t>
      </w:r>
      <w:r w:rsidRPr="005C3A61">
        <w:t xml:space="preserve">, offering </w:t>
      </w:r>
      <w:r w:rsidRPr="005C3A61">
        <w:rPr>
          <w:rStyle w:val="Strong"/>
        </w:rPr>
        <w:t>discounts for multiple dependents</w:t>
      </w:r>
      <w:r w:rsidRPr="005C3A61">
        <w:t xml:space="preserve"> while ensuring </w:t>
      </w:r>
      <w:r w:rsidRPr="005C3A61">
        <w:rPr>
          <w:rStyle w:val="Strong"/>
        </w:rPr>
        <w:t>profitable pricing</w:t>
      </w:r>
      <w:r w:rsidRPr="005C3A61">
        <w:t xml:space="preserve">. </w:t>
      </w:r>
    </w:p>
    <w:p w:rsidR="000E3D45" w:rsidRDefault="000E3D45" w:rsidP="000E3D45"/>
    <w:p w:rsidR="000E3D45" w:rsidRDefault="005C3A61" w:rsidP="005C3A61">
      <w:pPr>
        <w:jc w:val="center"/>
      </w:pPr>
      <w:r w:rsidRPr="005C3A61">
        <w:drawing>
          <wp:inline distT="0" distB="0" distL="0" distR="0">
            <wp:extent cx="4220441" cy="2340148"/>
            <wp:effectExtent l="19050" t="0" r="27709" b="3002"/>
            <wp:docPr id="8"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B72EB" w:rsidRDefault="00EB72EB" w:rsidP="00C018AA"/>
    <w:p w:rsidR="005C3A61" w:rsidRDefault="005C3A61" w:rsidP="005C3A61"/>
    <w:p w:rsidR="000E3D45" w:rsidRPr="005C3A61" w:rsidRDefault="000E3D45" w:rsidP="005C3A61">
      <w:pPr>
        <w:pStyle w:val="ListParagraph"/>
        <w:numPr>
          <w:ilvl w:val="0"/>
          <w:numId w:val="2"/>
        </w:numPr>
        <w:rPr>
          <w:b/>
          <w:bCs/>
          <w:sz w:val="24"/>
          <w:szCs w:val="24"/>
        </w:rPr>
      </w:pPr>
      <w:r w:rsidRPr="005C3A61">
        <w:rPr>
          <w:b/>
          <w:bCs/>
          <w:sz w:val="24"/>
          <w:szCs w:val="24"/>
        </w:rPr>
        <w:t xml:space="preserve">Does a study of persons BMI get the company any idea for the insurance claim that it would extend? </w:t>
      </w:r>
    </w:p>
    <w:p w:rsidR="005C3A61" w:rsidRPr="005C3A61" w:rsidRDefault="005C3A61" w:rsidP="005C3A61">
      <w:pPr>
        <w:spacing w:before="100" w:beforeAutospacing="1" w:after="100" w:afterAutospacing="1"/>
      </w:pPr>
      <w:r w:rsidRPr="005C3A61">
        <w:t xml:space="preserve">The </w:t>
      </w:r>
      <w:r w:rsidRPr="005C3A61">
        <w:rPr>
          <w:rStyle w:val="Strong"/>
        </w:rPr>
        <w:t>average insurance charges by BMI category</w:t>
      </w:r>
      <w:r w:rsidRPr="005C3A61">
        <w:t xml:space="preserve"> are:</w:t>
      </w:r>
    </w:p>
    <w:p w:rsidR="005C3A61" w:rsidRPr="005C3A61" w:rsidRDefault="005C3A61" w:rsidP="005C3A61">
      <w:pPr>
        <w:numPr>
          <w:ilvl w:val="0"/>
          <w:numId w:val="18"/>
        </w:numPr>
        <w:spacing w:before="100" w:beforeAutospacing="1" w:after="100" w:afterAutospacing="1" w:line="240" w:lineRule="auto"/>
      </w:pPr>
      <w:r w:rsidRPr="005C3A61">
        <w:rPr>
          <w:rStyle w:val="Strong"/>
        </w:rPr>
        <w:t>Normal weight</w:t>
      </w:r>
      <w:r w:rsidRPr="005C3A61">
        <w:t xml:space="preserve"> → ₹10,409.34 (Lowest)</w:t>
      </w:r>
    </w:p>
    <w:p w:rsidR="005C3A61" w:rsidRPr="005C3A61" w:rsidRDefault="005C3A61" w:rsidP="005C3A61">
      <w:pPr>
        <w:numPr>
          <w:ilvl w:val="0"/>
          <w:numId w:val="18"/>
        </w:numPr>
        <w:spacing w:before="100" w:beforeAutospacing="1" w:after="100" w:afterAutospacing="1" w:line="240" w:lineRule="auto"/>
      </w:pPr>
      <w:r w:rsidRPr="005C3A61">
        <w:rPr>
          <w:rStyle w:val="Strong"/>
        </w:rPr>
        <w:t>Overweight</w:t>
      </w:r>
      <w:r w:rsidRPr="005C3A61">
        <w:t xml:space="preserve"> → ₹10,987.51</w:t>
      </w:r>
    </w:p>
    <w:p w:rsidR="005C3A61" w:rsidRPr="005C3A61" w:rsidRDefault="005C3A61" w:rsidP="005C3A61">
      <w:pPr>
        <w:numPr>
          <w:ilvl w:val="0"/>
          <w:numId w:val="18"/>
        </w:numPr>
        <w:spacing w:before="100" w:beforeAutospacing="1" w:after="100" w:afterAutospacing="1" w:line="240" w:lineRule="auto"/>
      </w:pPr>
      <w:r w:rsidRPr="005C3A61">
        <w:rPr>
          <w:rStyle w:val="Strong"/>
        </w:rPr>
        <w:t>Obese</w:t>
      </w:r>
      <w:r w:rsidRPr="005C3A61">
        <w:t xml:space="preserve"> → ₹15,552.34 (Highest)</w:t>
      </w:r>
    </w:p>
    <w:p w:rsidR="005C3A61" w:rsidRPr="005C3A61" w:rsidRDefault="005C3A61" w:rsidP="005C3A61">
      <w:pPr>
        <w:pStyle w:val="Heading3"/>
        <w:tabs>
          <w:tab w:val="left" w:pos="360"/>
        </w:tabs>
        <w:rPr>
          <w:b/>
          <w:bCs/>
          <w:color w:val="000000" w:themeColor="text1"/>
          <w:sz w:val="22"/>
          <w:szCs w:val="22"/>
        </w:rPr>
      </w:pPr>
      <w:r w:rsidRPr="005C3A61">
        <w:rPr>
          <w:b/>
          <w:bCs/>
          <w:color w:val="000000" w:themeColor="text1"/>
          <w:sz w:val="22"/>
          <w:szCs w:val="22"/>
        </w:rPr>
        <w:t>Insights:-</w:t>
      </w:r>
    </w:p>
    <w:p w:rsidR="005C3A61" w:rsidRDefault="005C3A61" w:rsidP="005C3A61">
      <w:pPr>
        <w:pStyle w:val="ListParagraph"/>
        <w:numPr>
          <w:ilvl w:val="0"/>
          <w:numId w:val="18"/>
        </w:numPr>
        <w:spacing w:before="100" w:beforeAutospacing="1" w:after="100" w:afterAutospacing="1"/>
      </w:pPr>
      <w:r w:rsidRPr="005C3A61">
        <w:rPr>
          <w:rStyle w:val="Strong"/>
        </w:rPr>
        <w:t>Yes, BMI significantly impacts insurance claims.</w:t>
      </w:r>
    </w:p>
    <w:p w:rsidR="005C3A61" w:rsidRDefault="005C3A61" w:rsidP="005C3A61">
      <w:pPr>
        <w:pStyle w:val="ListParagraph"/>
        <w:numPr>
          <w:ilvl w:val="0"/>
          <w:numId w:val="18"/>
        </w:numPr>
        <w:spacing w:before="100" w:beforeAutospacing="1" w:after="100" w:afterAutospacing="1"/>
      </w:pPr>
      <w:r w:rsidRPr="005C3A61">
        <w:t xml:space="preserve"> </w:t>
      </w:r>
      <w:r w:rsidRPr="005C3A61">
        <w:rPr>
          <w:rStyle w:val="Strong"/>
        </w:rPr>
        <w:t>Obese individuals have the highest claims</w:t>
      </w:r>
      <w:r w:rsidRPr="005C3A61">
        <w:t xml:space="preserve">, suggesting higher </w:t>
      </w:r>
      <w:r w:rsidRPr="005C3A61">
        <w:rPr>
          <w:rStyle w:val="Strong"/>
        </w:rPr>
        <w:t>medical risks</w:t>
      </w:r>
      <w:r w:rsidRPr="005C3A61">
        <w:t xml:space="preserve"> and </w:t>
      </w:r>
      <w:r w:rsidRPr="005C3A61">
        <w:rPr>
          <w:rStyle w:val="Strong"/>
        </w:rPr>
        <w:t>health-related expenses</w:t>
      </w:r>
      <w:r w:rsidRPr="005C3A61">
        <w:t>.</w:t>
      </w:r>
    </w:p>
    <w:p w:rsidR="005C3A61" w:rsidRDefault="005C3A61" w:rsidP="005C3A61">
      <w:pPr>
        <w:pStyle w:val="ListParagraph"/>
        <w:numPr>
          <w:ilvl w:val="0"/>
          <w:numId w:val="18"/>
        </w:numPr>
        <w:spacing w:before="100" w:beforeAutospacing="1" w:after="100" w:afterAutospacing="1"/>
      </w:pPr>
      <w:r w:rsidRPr="005C3A61">
        <w:t xml:space="preserve"> </w:t>
      </w:r>
      <w:r w:rsidRPr="005C3A61">
        <w:rPr>
          <w:rStyle w:val="Strong"/>
        </w:rPr>
        <w:t>Normal-weight individuals claim the least</w:t>
      </w:r>
      <w:r w:rsidRPr="005C3A61">
        <w:t>, indicating lower medical risks.</w:t>
      </w:r>
    </w:p>
    <w:p w:rsidR="005C3A61" w:rsidRPr="005C3A61" w:rsidRDefault="005C3A61" w:rsidP="005C3A61">
      <w:pPr>
        <w:pStyle w:val="ListParagraph"/>
        <w:numPr>
          <w:ilvl w:val="0"/>
          <w:numId w:val="18"/>
        </w:numPr>
        <w:spacing w:before="100" w:beforeAutospacing="1" w:after="100" w:afterAutospacing="1"/>
      </w:pPr>
      <w:r w:rsidRPr="005C3A61">
        <w:rPr>
          <w:rFonts w:ascii="Calibri" w:hAnsi="Calibri" w:cs="Calibri"/>
        </w:rPr>
        <w:t>The company should</w:t>
      </w:r>
      <w:r w:rsidRPr="005C3A61">
        <w:t xml:space="preserve"> </w:t>
      </w:r>
      <w:r w:rsidRPr="005C3A61">
        <w:rPr>
          <w:rStyle w:val="Strong"/>
        </w:rPr>
        <w:t>adjust premiums based on BMI</w:t>
      </w:r>
      <w:r w:rsidRPr="005C3A61">
        <w:t xml:space="preserve">, charging </w:t>
      </w:r>
      <w:r w:rsidRPr="005C3A61">
        <w:rPr>
          <w:rStyle w:val="Strong"/>
        </w:rPr>
        <w:t>higher premiums for obese individuals</w:t>
      </w:r>
      <w:r w:rsidRPr="005C3A61">
        <w:t xml:space="preserve"> while offering </w:t>
      </w:r>
      <w:r w:rsidRPr="005C3A61">
        <w:rPr>
          <w:rStyle w:val="Strong"/>
        </w:rPr>
        <w:t>discounts for maintaining a healthy BMI</w:t>
      </w:r>
      <w:r w:rsidRPr="005C3A61">
        <w:t xml:space="preserve">. </w:t>
      </w:r>
    </w:p>
    <w:p w:rsidR="000E3D45" w:rsidRDefault="000E3D45" w:rsidP="00C018AA"/>
    <w:p w:rsidR="003650C0" w:rsidRDefault="005C3A61" w:rsidP="003650C0">
      <w:pPr>
        <w:jc w:val="center"/>
      </w:pPr>
      <w:r w:rsidRPr="005C3A61">
        <w:drawing>
          <wp:inline distT="0" distB="0" distL="0" distR="0">
            <wp:extent cx="4303568" cy="2743200"/>
            <wp:effectExtent l="19050" t="0" r="20782" b="0"/>
            <wp:docPr id="9"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E3D45" w:rsidRPr="003650C0" w:rsidRDefault="000E3D45" w:rsidP="003650C0">
      <w:pPr>
        <w:pStyle w:val="ListParagraph"/>
        <w:numPr>
          <w:ilvl w:val="0"/>
          <w:numId w:val="2"/>
        </w:numPr>
        <w:jc w:val="center"/>
      </w:pPr>
      <w:r w:rsidRPr="003650C0">
        <w:rPr>
          <w:b/>
          <w:bCs/>
          <w:sz w:val="24"/>
          <w:szCs w:val="24"/>
        </w:rPr>
        <w:lastRenderedPageBreak/>
        <w:t xml:space="preserve">Is it needed for the company to understand whether the person covered is a smoker or a non-smoker? </w:t>
      </w:r>
    </w:p>
    <w:p w:rsidR="000E3D45" w:rsidRDefault="000E3D45" w:rsidP="000E3D45">
      <w:pPr>
        <w:pStyle w:val="ListParagraph"/>
        <w:ind w:left="408"/>
      </w:pPr>
    </w:p>
    <w:p w:rsidR="00FF6079" w:rsidRPr="00FF6079" w:rsidRDefault="00FF6079" w:rsidP="00FF6079">
      <w:pPr>
        <w:numPr>
          <w:ilvl w:val="0"/>
          <w:numId w:val="19"/>
        </w:numPr>
        <w:spacing w:before="100" w:beforeAutospacing="1" w:after="100" w:afterAutospacing="1" w:line="240" w:lineRule="auto"/>
        <w:rPr>
          <w:rFonts w:ascii="Times New Roman" w:eastAsia="Times New Roman" w:hAnsi="Times New Roman" w:cs="Times New Roman"/>
          <w:kern w:val="0"/>
          <w:lang w:val="en-US" w:bidi="hi-IN"/>
        </w:rPr>
      </w:pPr>
      <w:r w:rsidRPr="00FF6079">
        <w:rPr>
          <w:rFonts w:ascii="Times New Roman" w:eastAsia="Times New Roman" w:hAnsi="Times New Roman" w:cs="Times New Roman"/>
          <w:b/>
          <w:bCs/>
          <w:kern w:val="0"/>
          <w:lang w:val="en-US" w:bidi="hi-IN"/>
        </w:rPr>
        <w:t>Non-smokers (no)</w:t>
      </w:r>
      <w:r w:rsidRPr="00FF6079">
        <w:rPr>
          <w:rFonts w:ascii="Times New Roman" w:eastAsia="Times New Roman" w:hAnsi="Times New Roman" w:cs="Times New Roman"/>
          <w:kern w:val="0"/>
          <w:lang w:val="en-US" w:bidi="hi-IN"/>
        </w:rPr>
        <w:t xml:space="preserve">: Average insurance charge is </w:t>
      </w:r>
      <w:r w:rsidRPr="00FF6079">
        <w:rPr>
          <w:rFonts w:ascii="Times New Roman" w:eastAsia="Times New Roman" w:hAnsi="Times New Roman" w:cs="Times New Roman"/>
          <w:b/>
          <w:bCs/>
          <w:kern w:val="0"/>
          <w:lang w:val="en-US" w:bidi="hi-IN"/>
        </w:rPr>
        <w:t>₹8434.27</w:t>
      </w:r>
      <w:r w:rsidRPr="00FF6079">
        <w:rPr>
          <w:rFonts w:ascii="Times New Roman" w:eastAsia="Times New Roman" w:hAnsi="Times New Roman" w:cs="Times New Roman"/>
          <w:kern w:val="0"/>
          <w:lang w:val="en-US" w:bidi="hi-IN"/>
        </w:rPr>
        <w:t xml:space="preserve"> with </w:t>
      </w:r>
      <w:r w:rsidRPr="00FF6079">
        <w:rPr>
          <w:rFonts w:ascii="Times New Roman" w:eastAsia="Times New Roman" w:hAnsi="Times New Roman" w:cs="Times New Roman"/>
          <w:b/>
          <w:bCs/>
          <w:kern w:val="0"/>
          <w:lang w:val="en-US" w:bidi="hi-IN"/>
        </w:rPr>
        <w:t>1064 policies.</w:t>
      </w:r>
    </w:p>
    <w:p w:rsidR="00FF6079" w:rsidRPr="00FF6079" w:rsidRDefault="00FF6079" w:rsidP="00FF6079">
      <w:pPr>
        <w:numPr>
          <w:ilvl w:val="0"/>
          <w:numId w:val="19"/>
        </w:numPr>
        <w:spacing w:before="100" w:beforeAutospacing="1" w:after="100" w:afterAutospacing="1" w:line="240" w:lineRule="auto"/>
        <w:rPr>
          <w:rFonts w:ascii="Times New Roman" w:eastAsia="Times New Roman" w:hAnsi="Times New Roman" w:cs="Times New Roman"/>
          <w:kern w:val="0"/>
          <w:lang w:val="en-US" w:bidi="hi-IN"/>
        </w:rPr>
      </w:pPr>
      <w:r w:rsidRPr="00FF6079">
        <w:rPr>
          <w:rFonts w:ascii="Times New Roman" w:eastAsia="Times New Roman" w:hAnsi="Times New Roman" w:cs="Times New Roman"/>
          <w:b/>
          <w:bCs/>
          <w:kern w:val="0"/>
          <w:lang w:val="en-US" w:bidi="hi-IN"/>
        </w:rPr>
        <w:t>Smokers (yes)</w:t>
      </w:r>
      <w:r w:rsidRPr="00FF6079">
        <w:rPr>
          <w:rFonts w:ascii="Times New Roman" w:eastAsia="Times New Roman" w:hAnsi="Times New Roman" w:cs="Times New Roman"/>
          <w:kern w:val="0"/>
          <w:lang w:val="en-US" w:bidi="hi-IN"/>
        </w:rPr>
        <w:t xml:space="preserve">: Average insurance charge is </w:t>
      </w:r>
      <w:r w:rsidRPr="00FF6079">
        <w:rPr>
          <w:rFonts w:ascii="Times New Roman" w:eastAsia="Times New Roman" w:hAnsi="Times New Roman" w:cs="Times New Roman"/>
          <w:b/>
          <w:bCs/>
          <w:kern w:val="0"/>
          <w:lang w:val="en-US" w:bidi="hi-IN"/>
        </w:rPr>
        <w:t>₹32050.23</w:t>
      </w:r>
      <w:r w:rsidRPr="00FF6079">
        <w:rPr>
          <w:rFonts w:ascii="Times New Roman" w:eastAsia="Times New Roman" w:hAnsi="Times New Roman" w:cs="Times New Roman"/>
          <w:kern w:val="0"/>
          <w:lang w:val="en-US" w:bidi="hi-IN"/>
        </w:rPr>
        <w:t xml:space="preserve"> with </w:t>
      </w:r>
      <w:r w:rsidRPr="00FF6079">
        <w:rPr>
          <w:rFonts w:ascii="Times New Roman" w:eastAsia="Times New Roman" w:hAnsi="Times New Roman" w:cs="Times New Roman"/>
          <w:b/>
          <w:bCs/>
          <w:kern w:val="0"/>
          <w:lang w:val="en-US" w:bidi="hi-IN"/>
        </w:rPr>
        <w:t>274 policies.</w:t>
      </w:r>
    </w:p>
    <w:p w:rsidR="00FF6079" w:rsidRPr="00FF6079" w:rsidRDefault="00FF6079" w:rsidP="00FF6079">
      <w:pPr>
        <w:numPr>
          <w:ilvl w:val="0"/>
          <w:numId w:val="19"/>
        </w:numPr>
        <w:spacing w:before="100" w:beforeAutospacing="1" w:after="100" w:afterAutospacing="1" w:line="240" w:lineRule="auto"/>
        <w:rPr>
          <w:rFonts w:ascii="Times New Roman" w:eastAsia="Times New Roman" w:hAnsi="Times New Roman" w:cs="Times New Roman"/>
          <w:kern w:val="0"/>
          <w:lang w:val="en-US" w:bidi="hi-IN"/>
        </w:rPr>
      </w:pPr>
      <w:r w:rsidRPr="00FF6079">
        <w:rPr>
          <w:rFonts w:ascii="Times New Roman" w:eastAsia="Times New Roman" w:hAnsi="Times New Roman" w:cs="Times New Roman"/>
          <w:b/>
          <w:bCs/>
          <w:kern w:val="0"/>
          <w:lang w:val="en-US" w:bidi="hi-IN"/>
        </w:rPr>
        <w:t>Grand Total</w:t>
      </w:r>
      <w:r w:rsidRPr="00FF6079">
        <w:rPr>
          <w:rFonts w:ascii="Times New Roman" w:eastAsia="Times New Roman" w:hAnsi="Times New Roman" w:cs="Times New Roman"/>
          <w:kern w:val="0"/>
          <w:lang w:val="en-US" w:bidi="hi-IN"/>
        </w:rPr>
        <w:t xml:space="preserve">: Overall average insurance charge is </w:t>
      </w:r>
      <w:r w:rsidRPr="00FF6079">
        <w:rPr>
          <w:rFonts w:ascii="Times New Roman" w:eastAsia="Times New Roman" w:hAnsi="Times New Roman" w:cs="Times New Roman"/>
          <w:b/>
          <w:bCs/>
          <w:kern w:val="0"/>
          <w:lang w:val="en-US" w:bidi="hi-IN"/>
        </w:rPr>
        <w:t>₹13270.42</w:t>
      </w:r>
      <w:r w:rsidRPr="00FF6079">
        <w:rPr>
          <w:rFonts w:ascii="Times New Roman" w:eastAsia="Times New Roman" w:hAnsi="Times New Roman" w:cs="Times New Roman"/>
          <w:kern w:val="0"/>
          <w:lang w:val="en-US" w:bidi="hi-IN"/>
        </w:rPr>
        <w:t xml:space="preserve"> across </w:t>
      </w:r>
      <w:r w:rsidRPr="00FF6079">
        <w:rPr>
          <w:rFonts w:ascii="Times New Roman" w:eastAsia="Times New Roman" w:hAnsi="Times New Roman" w:cs="Times New Roman"/>
          <w:b/>
          <w:bCs/>
          <w:kern w:val="0"/>
          <w:lang w:val="en-US" w:bidi="hi-IN"/>
        </w:rPr>
        <w:t>1338 policies.</w:t>
      </w:r>
    </w:p>
    <w:p w:rsidR="000E3D45" w:rsidRPr="00FF6079" w:rsidRDefault="00FF6079" w:rsidP="00FF6079">
      <w:pPr>
        <w:spacing w:before="100" w:beforeAutospacing="1" w:after="100" w:afterAutospacing="1" w:line="240" w:lineRule="auto"/>
        <w:rPr>
          <w:rFonts w:ascii="Times New Roman" w:eastAsia="Times New Roman" w:hAnsi="Times New Roman" w:cs="Times New Roman"/>
          <w:kern w:val="0"/>
          <w:lang w:val="en-US" w:bidi="hi-IN"/>
        </w:rPr>
      </w:pPr>
      <w:r w:rsidRPr="00FF6079">
        <w:rPr>
          <w:rFonts w:ascii="Times New Roman" w:eastAsia="Times New Roman" w:hAnsi="Times New Roman" w:cs="Times New Roman"/>
          <w:b/>
          <w:bCs/>
          <w:kern w:val="0"/>
          <w:lang w:val="en-US" w:bidi="hi-IN"/>
        </w:rPr>
        <w:t>Conclusion:-</w:t>
      </w:r>
      <w:r w:rsidRPr="00FF6079">
        <w:rPr>
          <w:rFonts w:ascii="Times New Roman" w:eastAsia="Times New Roman" w:hAnsi="Times New Roman" w:cs="Times New Roman"/>
          <w:kern w:val="0"/>
          <w:lang w:val="en-US" w:bidi="hi-IN"/>
        </w:rPr>
        <w:br/>
        <w:t>Yes, it is essential for the company to determine whether a person is a smoker or a non-smoker. The average charges for smokers are significantly higher than for non-smokers, which directly impacts risk assessment and premium calculation.</w:t>
      </w:r>
    </w:p>
    <w:p w:rsidR="003650C0" w:rsidRPr="000E3D45" w:rsidRDefault="003650C0" w:rsidP="000E3D45">
      <w:pPr>
        <w:pStyle w:val="ListParagraph"/>
        <w:ind w:left="408"/>
      </w:pPr>
    </w:p>
    <w:p w:rsidR="000E3D45" w:rsidRDefault="003650C0" w:rsidP="003650C0">
      <w:pPr>
        <w:pStyle w:val="ListParagraph"/>
        <w:ind w:left="408"/>
        <w:jc w:val="center"/>
        <w:rPr>
          <w:b/>
          <w:bCs/>
        </w:rPr>
      </w:pPr>
      <w:r w:rsidRPr="003650C0">
        <w:rPr>
          <w:b/>
          <w:bCs/>
        </w:rPr>
        <w:drawing>
          <wp:inline distT="0" distB="0" distL="0" distR="0">
            <wp:extent cx="4074968" cy="2743200"/>
            <wp:effectExtent l="19050" t="0" r="20782" b="0"/>
            <wp:docPr id="10"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0E3D45">
        <w:rPr>
          <w:b/>
          <w:bCs/>
        </w:rPr>
        <w:br/>
      </w:r>
    </w:p>
    <w:p w:rsidR="000E3D45" w:rsidRDefault="000E3D45" w:rsidP="000E3D45">
      <w:pPr>
        <w:pStyle w:val="ListParagraph"/>
        <w:ind w:left="408"/>
        <w:rPr>
          <w:b/>
          <w:bCs/>
        </w:rPr>
      </w:pPr>
    </w:p>
    <w:p w:rsidR="000E3D45" w:rsidRDefault="000E3D45" w:rsidP="000E3D45">
      <w:pPr>
        <w:pStyle w:val="ListParagraph"/>
        <w:ind w:left="408"/>
        <w:rPr>
          <w:b/>
          <w:bCs/>
        </w:rPr>
      </w:pPr>
    </w:p>
    <w:p w:rsidR="000E3D45" w:rsidRPr="00FF6079" w:rsidRDefault="000E3D45" w:rsidP="00FF6079">
      <w:pPr>
        <w:pStyle w:val="ListParagraph"/>
        <w:numPr>
          <w:ilvl w:val="0"/>
          <w:numId w:val="2"/>
        </w:numPr>
        <w:rPr>
          <w:b/>
          <w:bCs/>
          <w:sz w:val="24"/>
          <w:szCs w:val="24"/>
        </w:rPr>
      </w:pPr>
      <w:r w:rsidRPr="00FF6079">
        <w:rPr>
          <w:b/>
          <w:bCs/>
          <w:sz w:val="24"/>
          <w:szCs w:val="24"/>
        </w:rPr>
        <w:t xml:space="preserve">Does age have any barrier on the insurance claimed? </w:t>
      </w:r>
    </w:p>
    <w:p w:rsidR="00B147AC" w:rsidRDefault="00FF6079" w:rsidP="000E3D45">
      <w:pPr>
        <w:ind w:left="48"/>
        <w:rPr>
          <w:noProof/>
          <w:lang w:val="en-US" w:bidi="hi-IN"/>
        </w:rPr>
      </w:pPr>
      <w:r>
        <w:t xml:space="preserve">The average charges for different age groups show a clear pattern, with </w:t>
      </w:r>
      <w:r>
        <w:rPr>
          <w:rStyle w:val="Strong"/>
        </w:rPr>
        <w:t>seniors</w:t>
      </w:r>
      <w:r>
        <w:t xml:space="preserve"> having the highest average insurance charges at </w:t>
      </w:r>
      <w:r>
        <w:rPr>
          <w:rStyle w:val="Strong"/>
        </w:rPr>
        <w:t>₹17,902.55</w:t>
      </w:r>
      <w:r>
        <w:t xml:space="preserve">, followed by </w:t>
      </w:r>
      <w:r>
        <w:rPr>
          <w:rStyle w:val="Strong"/>
        </w:rPr>
        <w:t>adults</w:t>
      </w:r>
      <w:r>
        <w:t xml:space="preserve"> with an average of </w:t>
      </w:r>
      <w:r>
        <w:rPr>
          <w:rStyle w:val="Strong"/>
        </w:rPr>
        <w:t>₹12,382.50</w:t>
      </w:r>
      <w:r>
        <w:t xml:space="preserve">, and </w:t>
      </w:r>
      <w:r>
        <w:rPr>
          <w:rStyle w:val="Strong"/>
        </w:rPr>
        <w:t>youth</w:t>
      </w:r>
      <w:r>
        <w:t xml:space="preserve"> with the lowest average charges of </w:t>
      </w:r>
      <w:r>
        <w:rPr>
          <w:rStyle w:val="Strong"/>
        </w:rPr>
        <w:t>₹9,011.34</w:t>
      </w:r>
      <w:r>
        <w:t xml:space="preserve">. This indicates that as individuals grow </w:t>
      </w:r>
      <w:proofErr w:type="gramStart"/>
      <w:r>
        <w:t>older,</w:t>
      </w:r>
      <w:proofErr w:type="gramEnd"/>
      <w:r>
        <w:t xml:space="preserve"> their healthcare needs increase, leading to higher insurance claims. Seniors likely require more frequent medical attention, specialized treatments, and extended care, which contributes to the higher costs. Therefore, understanding the age group of the insured person is crucial for the company to accurately assess risk and determine appropriate premium amounts.</w:t>
      </w:r>
    </w:p>
    <w:p w:rsidR="00FF6079" w:rsidRDefault="00FF6079" w:rsidP="00FF6079">
      <w:pPr>
        <w:ind w:left="48"/>
        <w:jc w:val="center"/>
      </w:pPr>
      <w:r w:rsidRPr="00FF6079">
        <w:drawing>
          <wp:inline distT="0" distB="0" distL="0" distR="0">
            <wp:extent cx="3756314" cy="2355850"/>
            <wp:effectExtent l="19050" t="0" r="15586" b="6350"/>
            <wp:docPr id="11"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753444" w:rsidRPr="00FF6079" w:rsidRDefault="00753444" w:rsidP="00FF6079">
      <w:pPr>
        <w:pStyle w:val="ListParagraph"/>
        <w:numPr>
          <w:ilvl w:val="0"/>
          <w:numId w:val="2"/>
        </w:numPr>
      </w:pPr>
      <w:r w:rsidRPr="00FF6079">
        <w:rPr>
          <w:b/>
          <w:bCs/>
          <w:sz w:val="24"/>
          <w:szCs w:val="24"/>
        </w:rPr>
        <w:lastRenderedPageBreak/>
        <w:t xml:space="preserve">Can the company extend certain discounts after checking the health status (BMI) in this case? </w:t>
      </w:r>
    </w:p>
    <w:p w:rsidR="00FF6079" w:rsidRPr="00FF6079" w:rsidRDefault="00FF6079" w:rsidP="00FF6079">
      <w:pPr>
        <w:spacing w:before="100" w:beforeAutospacing="1" w:after="100" w:afterAutospacing="1" w:line="240" w:lineRule="auto"/>
        <w:rPr>
          <w:rFonts w:ascii="Times New Roman" w:eastAsia="Times New Roman" w:hAnsi="Times New Roman" w:cs="Times New Roman"/>
          <w:kern w:val="0"/>
          <w:lang w:val="en-US" w:bidi="hi-IN"/>
        </w:rPr>
      </w:pPr>
      <w:r w:rsidRPr="00FF6079">
        <w:rPr>
          <w:rFonts w:ascii="Times New Roman" w:eastAsia="Times New Roman" w:hAnsi="Times New Roman" w:cs="Times New Roman"/>
          <w:kern w:val="0"/>
          <w:lang w:val="en-US" w:bidi="hi-IN"/>
        </w:rPr>
        <w:t>The relationship between BMI categories and average insurance charges:</w:t>
      </w:r>
    </w:p>
    <w:p w:rsidR="00FF6079" w:rsidRPr="00FF6079" w:rsidRDefault="00FF6079" w:rsidP="00FF6079">
      <w:pPr>
        <w:numPr>
          <w:ilvl w:val="0"/>
          <w:numId w:val="20"/>
        </w:numPr>
        <w:spacing w:before="100" w:beforeAutospacing="1" w:after="100" w:afterAutospacing="1" w:line="240" w:lineRule="auto"/>
        <w:rPr>
          <w:rFonts w:ascii="Times New Roman" w:eastAsia="Times New Roman" w:hAnsi="Times New Roman" w:cs="Times New Roman"/>
          <w:kern w:val="0"/>
          <w:lang w:val="en-US" w:bidi="hi-IN"/>
        </w:rPr>
      </w:pPr>
      <w:r w:rsidRPr="00FF6079">
        <w:rPr>
          <w:rFonts w:ascii="Times New Roman" w:eastAsia="Times New Roman" w:hAnsi="Times New Roman" w:cs="Times New Roman"/>
          <w:b/>
          <w:bCs/>
          <w:kern w:val="0"/>
          <w:lang w:val="en-US" w:bidi="hi-IN"/>
        </w:rPr>
        <w:t>Normal weight</w:t>
      </w:r>
      <w:r w:rsidRPr="00FF6079">
        <w:rPr>
          <w:rFonts w:ascii="Times New Roman" w:eastAsia="Times New Roman" w:hAnsi="Times New Roman" w:cs="Times New Roman"/>
          <w:kern w:val="0"/>
          <w:lang w:val="en-US" w:bidi="hi-IN"/>
        </w:rPr>
        <w:t xml:space="preserve">: Average insurance charge is </w:t>
      </w:r>
      <w:r w:rsidRPr="00FF6079">
        <w:rPr>
          <w:rFonts w:ascii="Times New Roman" w:eastAsia="Times New Roman" w:hAnsi="Times New Roman" w:cs="Times New Roman"/>
          <w:b/>
          <w:bCs/>
          <w:kern w:val="0"/>
          <w:lang w:val="en-US" w:bidi="hi-IN"/>
        </w:rPr>
        <w:t>₹10,409.34</w:t>
      </w:r>
      <w:r w:rsidRPr="00FF6079">
        <w:rPr>
          <w:rFonts w:ascii="Times New Roman" w:eastAsia="Times New Roman" w:hAnsi="Times New Roman" w:cs="Times New Roman"/>
          <w:kern w:val="0"/>
          <w:lang w:val="en-US" w:bidi="hi-IN"/>
        </w:rPr>
        <w:t>.</w:t>
      </w:r>
    </w:p>
    <w:p w:rsidR="00FF6079" w:rsidRPr="00FF6079" w:rsidRDefault="00FF6079" w:rsidP="00FF6079">
      <w:pPr>
        <w:numPr>
          <w:ilvl w:val="0"/>
          <w:numId w:val="20"/>
        </w:numPr>
        <w:spacing w:before="100" w:beforeAutospacing="1" w:after="100" w:afterAutospacing="1" w:line="240" w:lineRule="auto"/>
        <w:rPr>
          <w:rFonts w:ascii="Times New Roman" w:eastAsia="Times New Roman" w:hAnsi="Times New Roman" w:cs="Times New Roman"/>
          <w:kern w:val="0"/>
          <w:lang w:val="en-US" w:bidi="hi-IN"/>
        </w:rPr>
      </w:pPr>
      <w:r w:rsidRPr="00FF6079">
        <w:rPr>
          <w:rFonts w:ascii="Times New Roman" w:eastAsia="Times New Roman" w:hAnsi="Times New Roman" w:cs="Times New Roman"/>
          <w:b/>
          <w:bCs/>
          <w:kern w:val="0"/>
          <w:lang w:val="en-US" w:bidi="hi-IN"/>
        </w:rPr>
        <w:t>Obese</w:t>
      </w:r>
      <w:r w:rsidRPr="00FF6079">
        <w:rPr>
          <w:rFonts w:ascii="Times New Roman" w:eastAsia="Times New Roman" w:hAnsi="Times New Roman" w:cs="Times New Roman"/>
          <w:kern w:val="0"/>
          <w:lang w:val="en-US" w:bidi="hi-IN"/>
        </w:rPr>
        <w:t xml:space="preserve">: Average insurance charge is significantly higher at </w:t>
      </w:r>
      <w:r w:rsidRPr="00FF6079">
        <w:rPr>
          <w:rFonts w:ascii="Times New Roman" w:eastAsia="Times New Roman" w:hAnsi="Times New Roman" w:cs="Times New Roman"/>
          <w:b/>
          <w:bCs/>
          <w:kern w:val="0"/>
          <w:lang w:val="en-US" w:bidi="hi-IN"/>
        </w:rPr>
        <w:t>₹15,552.34</w:t>
      </w:r>
      <w:r w:rsidRPr="00FF6079">
        <w:rPr>
          <w:rFonts w:ascii="Times New Roman" w:eastAsia="Times New Roman" w:hAnsi="Times New Roman" w:cs="Times New Roman"/>
          <w:kern w:val="0"/>
          <w:lang w:val="en-US" w:bidi="hi-IN"/>
        </w:rPr>
        <w:t>.</w:t>
      </w:r>
    </w:p>
    <w:p w:rsidR="00FF6079" w:rsidRPr="00FF6079" w:rsidRDefault="00FF6079" w:rsidP="00FF6079">
      <w:pPr>
        <w:numPr>
          <w:ilvl w:val="0"/>
          <w:numId w:val="20"/>
        </w:numPr>
        <w:spacing w:before="100" w:beforeAutospacing="1" w:after="100" w:afterAutospacing="1" w:line="240" w:lineRule="auto"/>
        <w:rPr>
          <w:rFonts w:ascii="Times New Roman" w:eastAsia="Times New Roman" w:hAnsi="Times New Roman" w:cs="Times New Roman"/>
          <w:kern w:val="0"/>
          <w:lang w:val="en-US" w:bidi="hi-IN"/>
        </w:rPr>
      </w:pPr>
      <w:r w:rsidRPr="00FF6079">
        <w:rPr>
          <w:rFonts w:ascii="Times New Roman" w:eastAsia="Times New Roman" w:hAnsi="Times New Roman" w:cs="Times New Roman"/>
          <w:b/>
          <w:bCs/>
          <w:kern w:val="0"/>
          <w:lang w:val="en-US" w:bidi="hi-IN"/>
        </w:rPr>
        <w:t>Overweight</w:t>
      </w:r>
      <w:r w:rsidRPr="00FF6079">
        <w:rPr>
          <w:rFonts w:ascii="Times New Roman" w:eastAsia="Times New Roman" w:hAnsi="Times New Roman" w:cs="Times New Roman"/>
          <w:kern w:val="0"/>
          <w:lang w:val="en-US" w:bidi="hi-IN"/>
        </w:rPr>
        <w:t xml:space="preserve">: Average insurance charge is </w:t>
      </w:r>
      <w:r w:rsidRPr="00FF6079">
        <w:rPr>
          <w:rFonts w:ascii="Times New Roman" w:eastAsia="Times New Roman" w:hAnsi="Times New Roman" w:cs="Times New Roman"/>
          <w:b/>
          <w:bCs/>
          <w:kern w:val="0"/>
          <w:lang w:val="en-US" w:bidi="hi-IN"/>
        </w:rPr>
        <w:t>₹10,987.51</w:t>
      </w:r>
      <w:r w:rsidRPr="00FF6079">
        <w:rPr>
          <w:rFonts w:ascii="Times New Roman" w:eastAsia="Times New Roman" w:hAnsi="Times New Roman" w:cs="Times New Roman"/>
          <w:kern w:val="0"/>
          <w:lang w:val="en-US" w:bidi="hi-IN"/>
        </w:rPr>
        <w:t>.</w:t>
      </w:r>
    </w:p>
    <w:p w:rsidR="00FF6079" w:rsidRPr="00FF6079" w:rsidRDefault="00FF6079" w:rsidP="00FF6079">
      <w:pPr>
        <w:numPr>
          <w:ilvl w:val="0"/>
          <w:numId w:val="20"/>
        </w:numPr>
        <w:spacing w:before="100" w:beforeAutospacing="1" w:after="100" w:afterAutospacing="1" w:line="240" w:lineRule="auto"/>
        <w:rPr>
          <w:rFonts w:ascii="Times New Roman" w:eastAsia="Times New Roman" w:hAnsi="Times New Roman" w:cs="Times New Roman"/>
          <w:kern w:val="0"/>
          <w:lang w:val="en-US" w:bidi="hi-IN"/>
        </w:rPr>
      </w:pPr>
      <w:r w:rsidRPr="00FF6079">
        <w:rPr>
          <w:rFonts w:ascii="Times New Roman" w:eastAsia="Times New Roman" w:hAnsi="Times New Roman" w:cs="Times New Roman"/>
          <w:b/>
          <w:bCs/>
          <w:kern w:val="0"/>
          <w:lang w:val="en-US" w:bidi="hi-IN"/>
        </w:rPr>
        <w:t>Underweight</w:t>
      </w:r>
      <w:r w:rsidRPr="00FF6079">
        <w:rPr>
          <w:rFonts w:ascii="Times New Roman" w:eastAsia="Times New Roman" w:hAnsi="Times New Roman" w:cs="Times New Roman"/>
          <w:kern w:val="0"/>
          <w:lang w:val="en-US" w:bidi="hi-IN"/>
        </w:rPr>
        <w:t xml:space="preserve">: Average insurance charge is the lowest at </w:t>
      </w:r>
      <w:r w:rsidRPr="00FF6079">
        <w:rPr>
          <w:rFonts w:ascii="Times New Roman" w:eastAsia="Times New Roman" w:hAnsi="Times New Roman" w:cs="Times New Roman"/>
          <w:b/>
          <w:bCs/>
          <w:kern w:val="0"/>
          <w:lang w:val="en-US" w:bidi="hi-IN"/>
        </w:rPr>
        <w:t>₹8,852.20</w:t>
      </w:r>
      <w:r w:rsidRPr="00FF6079">
        <w:rPr>
          <w:rFonts w:ascii="Times New Roman" w:eastAsia="Times New Roman" w:hAnsi="Times New Roman" w:cs="Times New Roman"/>
          <w:kern w:val="0"/>
          <w:lang w:val="en-US" w:bidi="hi-IN"/>
        </w:rPr>
        <w:t>.</w:t>
      </w:r>
    </w:p>
    <w:p w:rsidR="00FF6079" w:rsidRDefault="00FF6079" w:rsidP="00FF6079">
      <w:pPr>
        <w:spacing w:before="100" w:beforeAutospacing="1" w:after="100" w:afterAutospacing="1" w:line="240" w:lineRule="auto"/>
        <w:rPr>
          <w:rFonts w:ascii="Times New Roman" w:eastAsia="Times New Roman" w:hAnsi="Times New Roman" w:cs="Times New Roman"/>
          <w:kern w:val="0"/>
          <w:lang w:val="en-US" w:bidi="hi-IN"/>
        </w:rPr>
      </w:pPr>
      <w:r w:rsidRPr="00FF6079">
        <w:rPr>
          <w:rFonts w:ascii="Times New Roman" w:eastAsia="Times New Roman" w:hAnsi="Times New Roman" w:cs="Times New Roman"/>
          <w:b/>
          <w:bCs/>
          <w:kern w:val="0"/>
          <w:lang w:val="en-US" w:bidi="hi-IN"/>
        </w:rPr>
        <w:t>Conclusion:</w:t>
      </w:r>
      <w:r>
        <w:rPr>
          <w:rFonts w:ascii="Times New Roman" w:eastAsia="Times New Roman" w:hAnsi="Times New Roman" w:cs="Times New Roman"/>
          <w:b/>
          <w:bCs/>
          <w:kern w:val="0"/>
          <w:lang w:val="en-US" w:bidi="hi-IN"/>
        </w:rPr>
        <w:t>-</w:t>
      </w:r>
      <w:r w:rsidRPr="00FF6079">
        <w:rPr>
          <w:rFonts w:ascii="Times New Roman" w:eastAsia="Times New Roman" w:hAnsi="Times New Roman" w:cs="Times New Roman"/>
          <w:kern w:val="0"/>
          <w:lang w:val="en-US" w:bidi="hi-IN"/>
        </w:rPr>
        <w:br/>
        <w:t xml:space="preserve">Yes, the company can consider extending certain discounts based on the health status, specifically BMI. Individuals with </w:t>
      </w:r>
      <w:r w:rsidRPr="00FF6079">
        <w:rPr>
          <w:rFonts w:ascii="Times New Roman" w:eastAsia="Times New Roman" w:hAnsi="Times New Roman" w:cs="Times New Roman"/>
          <w:b/>
          <w:bCs/>
          <w:kern w:val="0"/>
          <w:lang w:val="en-US" w:bidi="hi-IN"/>
        </w:rPr>
        <w:t>normal weight</w:t>
      </w:r>
      <w:r w:rsidRPr="00FF6079">
        <w:rPr>
          <w:rFonts w:ascii="Times New Roman" w:eastAsia="Times New Roman" w:hAnsi="Times New Roman" w:cs="Times New Roman"/>
          <w:kern w:val="0"/>
          <w:lang w:val="en-US" w:bidi="hi-IN"/>
        </w:rPr>
        <w:t xml:space="preserve"> and </w:t>
      </w:r>
      <w:r w:rsidRPr="00FF6079">
        <w:rPr>
          <w:rFonts w:ascii="Times New Roman" w:eastAsia="Times New Roman" w:hAnsi="Times New Roman" w:cs="Times New Roman"/>
          <w:b/>
          <w:bCs/>
          <w:kern w:val="0"/>
          <w:lang w:val="en-US" w:bidi="hi-IN"/>
        </w:rPr>
        <w:t>underweight</w:t>
      </w:r>
      <w:r w:rsidRPr="00FF6079">
        <w:rPr>
          <w:rFonts w:ascii="Times New Roman" w:eastAsia="Times New Roman" w:hAnsi="Times New Roman" w:cs="Times New Roman"/>
          <w:kern w:val="0"/>
          <w:lang w:val="en-US" w:bidi="hi-IN"/>
        </w:rPr>
        <w:t xml:space="preserve"> status tend to have lower average insurance charges, indicating that they may pose a lower risk in terms of medical expenses. Offering discounts or incentives to these groups can encourage maintaining a healthier lifestyle and potentially reduce future claims. Conversely, individuals falling under the </w:t>
      </w:r>
      <w:r w:rsidRPr="00FF6079">
        <w:rPr>
          <w:rFonts w:ascii="Times New Roman" w:eastAsia="Times New Roman" w:hAnsi="Times New Roman" w:cs="Times New Roman"/>
          <w:b/>
          <w:bCs/>
          <w:kern w:val="0"/>
          <w:lang w:val="en-US" w:bidi="hi-IN"/>
        </w:rPr>
        <w:t>obese</w:t>
      </w:r>
      <w:r w:rsidRPr="00FF6079">
        <w:rPr>
          <w:rFonts w:ascii="Times New Roman" w:eastAsia="Times New Roman" w:hAnsi="Times New Roman" w:cs="Times New Roman"/>
          <w:kern w:val="0"/>
          <w:lang w:val="en-US" w:bidi="hi-IN"/>
        </w:rPr>
        <w:t xml:space="preserve"> and </w:t>
      </w:r>
      <w:r w:rsidRPr="00FF6079">
        <w:rPr>
          <w:rFonts w:ascii="Times New Roman" w:eastAsia="Times New Roman" w:hAnsi="Times New Roman" w:cs="Times New Roman"/>
          <w:b/>
          <w:bCs/>
          <w:kern w:val="0"/>
          <w:lang w:val="en-US" w:bidi="hi-IN"/>
        </w:rPr>
        <w:t>overweight</w:t>
      </w:r>
      <w:r w:rsidRPr="00FF6079">
        <w:rPr>
          <w:rFonts w:ascii="Times New Roman" w:eastAsia="Times New Roman" w:hAnsi="Times New Roman" w:cs="Times New Roman"/>
          <w:kern w:val="0"/>
          <w:lang w:val="en-US" w:bidi="hi-IN"/>
        </w:rPr>
        <w:t xml:space="preserve"> categories, with higher average charges, may not be eligible for such discounts due to the increased risk of health issues. ​</w:t>
      </w:r>
      <w:r>
        <w:rPr>
          <w:rFonts w:ascii="Times New Roman" w:eastAsia="Times New Roman" w:hAnsi="Times New Roman" w:cs="Times New Roman"/>
          <w:kern w:val="0"/>
          <w:lang w:val="en-US" w:bidi="hi-IN"/>
        </w:rPr>
        <w:t xml:space="preserve">                                                </w:t>
      </w:r>
    </w:p>
    <w:p w:rsidR="00FF6079" w:rsidRPr="00FF6079" w:rsidRDefault="00FF6079" w:rsidP="00FF6079">
      <w:pPr>
        <w:spacing w:before="100" w:beforeAutospacing="1" w:after="100" w:afterAutospacing="1" w:line="240" w:lineRule="auto"/>
        <w:jc w:val="center"/>
        <w:rPr>
          <w:rFonts w:ascii="Times New Roman" w:eastAsia="Times New Roman" w:hAnsi="Times New Roman" w:cs="Times New Roman"/>
          <w:b/>
          <w:bCs/>
          <w:kern w:val="0"/>
          <w:lang w:val="en-US" w:bidi="hi-IN"/>
        </w:rPr>
      </w:pPr>
      <w:r w:rsidRPr="00FF6079">
        <w:drawing>
          <wp:inline distT="0" distB="0" distL="0" distR="0">
            <wp:extent cx="3754928" cy="2840182"/>
            <wp:effectExtent l="19050" t="0" r="16972" b="0"/>
            <wp:docPr id="13"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br w:type="textWrapping" w:clear="all"/>
      </w:r>
    </w:p>
    <w:sectPr w:rsidR="00FF6079" w:rsidRPr="00FF6079" w:rsidSect="00C018AA">
      <w:pgSz w:w="12240" w:h="16340"/>
      <w:pgMar w:top="980" w:right="475" w:bottom="475" w:left="48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277F6"/>
    <w:multiLevelType w:val="multilevel"/>
    <w:tmpl w:val="F2C62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122374"/>
    <w:multiLevelType w:val="hybridMultilevel"/>
    <w:tmpl w:val="6AEA2AE2"/>
    <w:lvl w:ilvl="0" w:tplc="74F2F19E">
      <w:start w:val="1"/>
      <w:numFmt w:val="decimal"/>
      <w:lvlText w:val="%1."/>
      <w:lvlJc w:val="left"/>
      <w:pPr>
        <w:ind w:left="408" w:hanging="360"/>
      </w:pPr>
      <w:rPr>
        <w:rFonts w:hint="default"/>
        <w:b/>
        <w:bCs/>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2">
    <w:nsid w:val="12DB2060"/>
    <w:multiLevelType w:val="hybridMultilevel"/>
    <w:tmpl w:val="07188B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757181C"/>
    <w:multiLevelType w:val="multilevel"/>
    <w:tmpl w:val="53FAF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7F73DA"/>
    <w:multiLevelType w:val="multilevel"/>
    <w:tmpl w:val="AC2EC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B0109F"/>
    <w:multiLevelType w:val="hybridMultilevel"/>
    <w:tmpl w:val="EC88B8B8"/>
    <w:lvl w:ilvl="0" w:tplc="961E8954">
      <w:start w:val="1"/>
      <w:numFmt w:val="lowerLetter"/>
      <w:lvlText w:val="%1)"/>
      <w:lvlJc w:val="left"/>
      <w:pPr>
        <w:ind w:left="540" w:hanging="360"/>
      </w:pPr>
      <w:rPr>
        <w:rFonts w:hint="default"/>
        <w:b/>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6">
    <w:nsid w:val="2B854B54"/>
    <w:multiLevelType w:val="multilevel"/>
    <w:tmpl w:val="A80E8F64"/>
    <w:lvl w:ilvl="0">
      <w:start w:val="1"/>
      <w:numFmt w:val="bullet"/>
      <w:lvlText w:val=""/>
      <w:lvlJc w:val="left"/>
      <w:pPr>
        <w:tabs>
          <w:tab w:val="num" w:pos="720"/>
        </w:tabs>
        <w:ind w:left="720" w:hanging="360"/>
      </w:pPr>
      <w:rPr>
        <w:rFonts w:ascii="Symbol" w:hAnsi="Symbol" w:hint="default"/>
        <w:sz w:val="20"/>
      </w:rPr>
    </w:lvl>
    <w:lvl w:ilvl="1">
      <w:start w:val="2"/>
      <w:numFmt w:val="lowerLetter"/>
      <w:lvlText w:val="%2."/>
      <w:lvlJc w:val="left"/>
      <w:pPr>
        <w:ind w:left="1353" w:hanging="360"/>
      </w:pPr>
      <w:rPr>
        <w:rFonts w:hint="default"/>
        <w:b/>
        <w:bCs/>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8E1EBB"/>
    <w:multiLevelType w:val="multilevel"/>
    <w:tmpl w:val="32240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045775"/>
    <w:multiLevelType w:val="hybridMultilevel"/>
    <w:tmpl w:val="D29062B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4544344"/>
    <w:multiLevelType w:val="multilevel"/>
    <w:tmpl w:val="B9626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75B218C"/>
    <w:multiLevelType w:val="multilevel"/>
    <w:tmpl w:val="587A9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B6771CA"/>
    <w:multiLevelType w:val="multilevel"/>
    <w:tmpl w:val="67BAE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EE15CBC"/>
    <w:multiLevelType w:val="multilevel"/>
    <w:tmpl w:val="2360734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48B13F4"/>
    <w:multiLevelType w:val="multilevel"/>
    <w:tmpl w:val="6BCE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4963C8B"/>
    <w:multiLevelType w:val="multilevel"/>
    <w:tmpl w:val="9C54E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391036A"/>
    <w:multiLevelType w:val="multilevel"/>
    <w:tmpl w:val="77D21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D4C5B0B"/>
    <w:multiLevelType w:val="multilevel"/>
    <w:tmpl w:val="D75A2C0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E2C6F98"/>
    <w:multiLevelType w:val="multilevel"/>
    <w:tmpl w:val="B44A2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E6E52AA"/>
    <w:multiLevelType w:val="multilevel"/>
    <w:tmpl w:val="26DE6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D53255E"/>
    <w:multiLevelType w:val="multilevel"/>
    <w:tmpl w:val="6194E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9"/>
  </w:num>
  <w:num w:numId="4">
    <w:abstractNumId w:val="7"/>
  </w:num>
  <w:num w:numId="5">
    <w:abstractNumId w:val="10"/>
  </w:num>
  <w:num w:numId="6">
    <w:abstractNumId w:val="5"/>
  </w:num>
  <w:num w:numId="7">
    <w:abstractNumId w:val="12"/>
  </w:num>
  <w:num w:numId="8">
    <w:abstractNumId w:val="6"/>
  </w:num>
  <w:num w:numId="9">
    <w:abstractNumId w:val="16"/>
  </w:num>
  <w:num w:numId="10">
    <w:abstractNumId w:val="3"/>
  </w:num>
  <w:num w:numId="11">
    <w:abstractNumId w:val="17"/>
  </w:num>
  <w:num w:numId="12">
    <w:abstractNumId w:val="14"/>
  </w:num>
  <w:num w:numId="13">
    <w:abstractNumId w:val="8"/>
  </w:num>
  <w:num w:numId="14">
    <w:abstractNumId w:val="15"/>
  </w:num>
  <w:num w:numId="15">
    <w:abstractNumId w:val="13"/>
  </w:num>
  <w:num w:numId="16">
    <w:abstractNumId w:val="0"/>
  </w:num>
  <w:num w:numId="17">
    <w:abstractNumId w:val="11"/>
  </w:num>
  <w:num w:numId="18">
    <w:abstractNumId w:val="19"/>
  </w:num>
  <w:num w:numId="19">
    <w:abstractNumId w:val="4"/>
  </w:num>
  <w:num w:numId="2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C018AA"/>
    <w:rsid w:val="0001610B"/>
    <w:rsid w:val="0007574C"/>
    <w:rsid w:val="000E3D45"/>
    <w:rsid w:val="0013726E"/>
    <w:rsid w:val="0015212C"/>
    <w:rsid w:val="001F4A01"/>
    <w:rsid w:val="00202EFA"/>
    <w:rsid w:val="00333BC8"/>
    <w:rsid w:val="003650C0"/>
    <w:rsid w:val="00384385"/>
    <w:rsid w:val="00462A1F"/>
    <w:rsid w:val="00517736"/>
    <w:rsid w:val="005C3A61"/>
    <w:rsid w:val="00625A16"/>
    <w:rsid w:val="00753444"/>
    <w:rsid w:val="008C6983"/>
    <w:rsid w:val="00911920"/>
    <w:rsid w:val="0099125E"/>
    <w:rsid w:val="009B2234"/>
    <w:rsid w:val="00A95FD2"/>
    <w:rsid w:val="00B147AC"/>
    <w:rsid w:val="00C018AA"/>
    <w:rsid w:val="00CB086A"/>
    <w:rsid w:val="00EB3E0D"/>
    <w:rsid w:val="00EB72EB"/>
    <w:rsid w:val="00EE2E33"/>
    <w:rsid w:val="00FF6079"/>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983"/>
  </w:style>
  <w:style w:type="paragraph" w:styleId="Heading1">
    <w:name w:val="heading 1"/>
    <w:basedOn w:val="Normal"/>
    <w:next w:val="Normal"/>
    <w:link w:val="Heading1Char"/>
    <w:uiPriority w:val="9"/>
    <w:qFormat/>
    <w:rsid w:val="00C018A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018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018A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018A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018A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018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18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18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18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8A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018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018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018A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018A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018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18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18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18AA"/>
    <w:rPr>
      <w:rFonts w:eastAsiaTheme="majorEastAsia" w:cstheme="majorBidi"/>
      <w:color w:val="272727" w:themeColor="text1" w:themeTint="D8"/>
    </w:rPr>
  </w:style>
  <w:style w:type="paragraph" w:styleId="Title">
    <w:name w:val="Title"/>
    <w:basedOn w:val="Normal"/>
    <w:next w:val="Normal"/>
    <w:link w:val="TitleChar"/>
    <w:uiPriority w:val="10"/>
    <w:qFormat/>
    <w:rsid w:val="00C018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18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18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18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18AA"/>
    <w:pPr>
      <w:spacing w:before="160"/>
      <w:jc w:val="center"/>
    </w:pPr>
    <w:rPr>
      <w:i/>
      <w:iCs/>
      <w:color w:val="404040" w:themeColor="text1" w:themeTint="BF"/>
    </w:rPr>
  </w:style>
  <w:style w:type="character" w:customStyle="1" w:styleId="QuoteChar">
    <w:name w:val="Quote Char"/>
    <w:basedOn w:val="DefaultParagraphFont"/>
    <w:link w:val="Quote"/>
    <w:uiPriority w:val="29"/>
    <w:rsid w:val="00C018AA"/>
    <w:rPr>
      <w:i/>
      <w:iCs/>
      <w:color w:val="404040" w:themeColor="text1" w:themeTint="BF"/>
    </w:rPr>
  </w:style>
  <w:style w:type="paragraph" w:styleId="ListParagraph">
    <w:name w:val="List Paragraph"/>
    <w:basedOn w:val="Normal"/>
    <w:uiPriority w:val="34"/>
    <w:qFormat/>
    <w:rsid w:val="00C018AA"/>
    <w:pPr>
      <w:ind w:left="720"/>
      <w:contextualSpacing/>
    </w:pPr>
  </w:style>
  <w:style w:type="character" w:styleId="IntenseEmphasis">
    <w:name w:val="Intense Emphasis"/>
    <w:basedOn w:val="DefaultParagraphFont"/>
    <w:uiPriority w:val="21"/>
    <w:qFormat/>
    <w:rsid w:val="00C018AA"/>
    <w:rPr>
      <w:i/>
      <w:iCs/>
      <w:color w:val="2F5496" w:themeColor="accent1" w:themeShade="BF"/>
    </w:rPr>
  </w:style>
  <w:style w:type="paragraph" w:styleId="IntenseQuote">
    <w:name w:val="Intense Quote"/>
    <w:basedOn w:val="Normal"/>
    <w:next w:val="Normal"/>
    <w:link w:val="IntenseQuoteChar"/>
    <w:uiPriority w:val="30"/>
    <w:qFormat/>
    <w:rsid w:val="00C018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018AA"/>
    <w:rPr>
      <w:i/>
      <w:iCs/>
      <w:color w:val="2F5496" w:themeColor="accent1" w:themeShade="BF"/>
    </w:rPr>
  </w:style>
  <w:style w:type="character" w:styleId="IntenseReference">
    <w:name w:val="Intense Reference"/>
    <w:basedOn w:val="DefaultParagraphFont"/>
    <w:uiPriority w:val="32"/>
    <w:qFormat/>
    <w:rsid w:val="00C018AA"/>
    <w:rPr>
      <w:b/>
      <w:bCs/>
      <w:smallCaps/>
      <w:color w:val="2F5496" w:themeColor="accent1" w:themeShade="BF"/>
      <w:spacing w:val="5"/>
    </w:rPr>
  </w:style>
  <w:style w:type="paragraph" w:customStyle="1" w:styleId="Default">
    <w:name w:val="Default"/>
    <w:rsid w:val="000E3D45"/>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BalloonText">
    <w:name w:val="Balloon Text"/>
    <w:basedOn w:val="Normal"/>
    <w:link w:val="BalloonTextChar"/>
    <w:uiPriority w:val="99"/>
    <w:semiHidden/>
    <w:unhideWhenUsed/>
    <w:rsid w:val="00625A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5A16"/>
    <w:rPr>
      <w:rFonts w:ascii="Tahoma" w:hAnsi="Tahoma" w:cs="Tahoma"/>
      <w:sz w:val="16"/>
      <w:szCs w:val="16"/>
    </w:rPr>
  </w:style>
  <w:style w:type="character" w:styleId="Strong">
    <w:name w:val="Strong"/>
    <w:basedOn w:val="DefaultParagraphFont"/>
    <w:uiPriority w:val="22"/>
    <w:qFormat/>
    <w:rsid w:val="00202EFA"/>
    <w:rPr>
      <w:b/>
      <w:bCs/>
    </w:rPr>
  </w:style>
  <w:style w:type="paragraph" w:styleId="NormalWeb">
    <w:name w:val="Normal (Web)"/>
    <w:basedOn w:val="Normal"/>
    <w:uiPriority w:val="99"/>
    <w:semiHidden/>
    <w:unhideWhenUsed/>
    <w:rsid w:val="005C3A61"/>
    <w:pPr>
      <w:spacing w:before="100" w:beforeAutospacing="1" w:after="100" w:afterAutospacing="1" w:line="240" w:lineRule="auto"/>
    </w:pPr>
    <w:rPr>
      <w:rFonts w:ascii="Times New Roman" w:eastAsia="Times New Roman" w:hAnsi="Times New Roman" w:cs="Times New Roman"/>
      <w:kern w:val="0"/>
      <w:sz w:val="24"/>
      <w:szCs w:val="24"/>
      <w:lang w:val="en-US" w:bidi="hi-IN"/>
    </w:rPr>
  </w:style>
</w:styles>
</file>

<file path=word/webSettings.xml><?xml version="1.0" encoding="utf-8"?>
<w:webSettings xmlns:r="http://schemas.openxmlformats.org/officeDocument/2006/relationships" xmlns:w="http://schemas.openxmlformats.org/wordprocessingml/2006/main">
  <w:divs>
    <w:div w:id="183328359">
      <w:bodyDiv w:val="1"/>
      <w:marLeft w:val="0"/>
      <w:marRight w:val="0"/>
      <w:marTop w:val="0"/>
      <w:marBottom w:val="0"/>
      <w:divBdr>
        <w:top w:val="none" w:sz="0" w:space="0" w:color="auto"/>
        <w:left w:val="none" w:sz="0" w:space="0" w:color="auto"/>
        <w:bottom w:val="none" w:sz="0" w:space="0" w:color="auto"/>
        <w:right w:val="none" w:sz="0" w:space="0" w:color="auto"/>
      </w:divBdr>
    </w:div>
    <w:div w:id="650594164">
      <w:bodyDiv w:val="1"/>
      <w:marLeft w:val="0"/>
      <w:marRight w:val="0"/>
      <w:marTop w:val="0"/>
      <w:marBottom w:val="0"/>
      <w:divBdr>
        <w:top w:val="none" w:sz="0" w:space="0" w:color="auto"/>
        <w:left w:val="none" w:sz="0" w:space="0" w:color="auto"/>
        <w:bottom w:val="none" w:sz="0" w:space="0" w:color="auto"/>
        <w:right w:val="none" w:sz="0" w:space="0" w:color="auto"/>
      </w:divBdr>
    </w:div>
    <w:div w:id="859389114">
      <w:bodyDiv w:val="1"/>
      <w:marLeft w:val="0"/>
      <w:marRight w:val="0"/>
      <w:marTop w:val="0"/>
      <w:marBottom w:val="0"/>
      <w:divBdr>
        <w:top w:val="none" w:sz="0" w:space="0" w:color="auto"/>
        <w:left w:val="none" w:sz="0" w:space="0" w:color="auto"/>
        <w:bottom w:val="none" w:sz="0" w:space="0" w:color="auto"/>
        <w:right w:val="none" w:sz="0" w:space="0" w:color="auto"/>
      </w:divBdr>
    </w:div>
    <w:div w:id="1001129265">
      <w:bodyDiv w:val="1"/>
      <w:marLeft w:val="0"/>
      <w:marRight w:val="0"/>
      <w:marTop w:val="0"/>
      <w:marBottom w:val="0"/>
      <w:divBdr>
        <w:top w:val="none" w:sz="0" w:space="0" w:color="auto"/>
        <w:left w:val="none" w:sz="0" w:space="0" w:color="auto"/>
        <w:bottom w:val="none" w:sz="0" w:space="0" w:color="auto"/>
        <w:right w:val="none" w:sz="0" w:space="0" w:color="auto"/>
      </w:divBdr>
    </w:div>
    <w:div w:id="1002048808">
      <w:bodyDiv w:val="1"/>
      <w:marLeft w:val="0"/>
      <w:marRight w:val="0"/>
      <w:marTop w:val="0"/>
      <w:marBottom w:val="0"/>
      <w:divBdr>
        <w:top w:val="none" w:sz="0" w:space="0" w:color="auto"/>
        <w:left w:val="none" w:sz="0" w:space="0" w:color="auto"/>
        <w:bottom w:val="none" w:sz="0" w:space="0" w:color="auto"/>
        <w:right w:val="none" w:sz="0" w:space="0" w:color="auto"/>
      </w:divBdr>
    </w:div>
    <w:div w:id="1009328217">
      <w:bodyDiv w:val="1"/>
      <w:marLeft w:val="0"/>
      <w:marRight w:val="0"/>
      <w:marTop w:val="0"/>
      <w:marBottom w:val="0"/>
      <w:divBdr>
        <w:top w:val="none" w:sz="0" w:space="0" w:color="auto"/>
        <w:left w:val="none" w:sz="0" w:space="0" w:color="auto"/>
        <w:bottom w:val="none" w:sz="0" w:space="0" w:color="auto"/>
        <w:right w:val="none" w:sz="0" w:space="0" w:color="auto"/>
      </w:divBdr>
    </w:div>
    <w:div w:id="1026519742">
      <w:bodyDiv w:val="1"/>
      <w:marLeft w:val="0"/>
      <w:marRight w:val="0"/>
      <w:marTop w:val="0"/>
      <w:marBottom w:val="0"/>
      <w:divBdr>
        <w:top w:val="none" w:sz="0" w:space="0" w:color="auto"/>
        <w:left w:val="none" w:sz="0" w:space="0" w:color="auto"/>
        <w:bottom w:val="none" w:sz="0" w:space="0" w:color="auto"/>
        <w:right w:val="none" w:sz="0" w:space="0" w:color="auto"/>
      </w:divBdr>
    </w:div>
    <w:div w:id="1075975482">
      <w:bodyDiv w:val="1"/>
      <w:marLeft w:val="0"/>
      <w:marRight w:val="0"/>
      <w:marTop w:val="0"/>
      <w:marBottom w:val="0"/>
      <w:divBdr>
        <w:top w:val="none" w:sz="0" w:space="0" w:color="auto"/>
        <w:left w:val="none" w:sz="0" w:space="0" w:color="auto"/>
        <w:bottom w:val="none" w:sz="0" w:space="0" w:color="auto"/>
        <w:right w:val="none" w:sz="0" w:space="0" w:color="auto"/>
      </w:divBdr>
    </w:div>
    <w:div w:id="1279994519">
      <w:bodyDiv w:val="1"/>
      <w:marLeft w:val="0"/>
      <w:marRight w:val="0"/>
      <w:marTop w:val="0"/>
      <w:marBottom w:val="0"/>
      <w:divBdr>
        <w:top w:val="none" w:sz="0" w:space="0" w:color="auto"/>
        <w:left w:val="none" w:sz="0" w:space="0" w:color="auto"/>
        <w:bottom w:val="none" w:sz="0" w:space="0" w:color="auto"/>
        <w:right w:val="none" w:sz="0" w:space="0" w:color="auto"/>
      </w:divBdr>
    </w:div>
    <w:div w:id="1283418637">
      <w:bodyDiv w:val="1"/>
      <w:marLeft w:val="0"/>
      <w:marRight w:val="0"/>
      <w:marTop w:val="0"/>
      <w:marBottom w:val="0"/>
      <w:divBdr>
        <w:top w:val="none" w:sz="0" w:space="0" w:color="auto"/>
        <w:left w:val="none" w:sz="0" w:space="0" w:color="auto"/>
        <w:bottom w:val="none" w:sz="0" w:space="0" w:color="auto"/>
        <w:right w:val="none" w:sz="0" w:space="0" w:color="auto"/>
      </w:divBdr>
    </w:div>
    <w:div w:id="1376584238">
      <w:bodyDiv w:val="1"/>
      <w:marLeft w:val="0"/>
      <w:marRight w:val="0"/>
      <w:marTop w:val="0"/>
      <w:marBottom w:val="0"/>
      <w:divBdr>
        <w:top w:val="none" w:sz="0" w:space="0" w:color="auto"/>
        <w:left w:val="none" w:sz="0" w:space="0" w:color="auto"/>
        <w:bottom w:val="none" w:sz="0" w:space="0" w:color="auto"/>
        <w:right w:val="none" w:sz="0" w:space="0" w:color="auto"/>
      </w:divBdr>
    </w:div>
    <w:div w:id="1565490144">
      <w:bodyDiv w:val="1"/>
      <w:marLeft w:val="0"/>
      <w:marRight w:val="0"/>
      <w:marTop w:val="0"/>
      <w:marBottom w:val="0"/>
      <w:divBdr>
        <w:top w:val="none" w:sz="0" w:space="0" w:color="auto"/>
        <w:left w:val="none" w:sz="0" w:space="0" w:color="auto"/>
        <w:bottom w:val="none" w:sz="0" w:space="0" w:color="auto"/>
        <w:right w:val="none" w:sz="0" w:space="0" w:color="auto"/>
      </w:divBdr>
    </w:div>
    <w:div w:id="1601986381">
      <w:bodyDiv w:val="1"/>
      <w:marLeft w:val="0"/>
      <w:marRight w:val="0"/>
      <w:marTop w:val="0"/>
      <w:marBottom w:val="0"/>
      <w:divBdr>
        <w:top w:val="none" w:sz="0" w:space="0" w:color="auto"/>
        <w:left w:val="none" w:sz="0" w:space="0" w:color="auto"/>
        <w:bottom w:val="none" w:sz="0" w:space="0" w:color="auto"/>
        <w:right w:val="none" w:sz="0" w:space="0" w:color="auto"/>
      </w:divBdr>
    </w:div>
    <w:div w:id="1642463759">
      <w:bodyDiv w:val="1"/>
      <w:marLeft w:val="0"/>
      <w:marRight w:val="0"/>
      <w:marTop w:val="0"/>
      <w:marBottom w:val="0"/>
      <w:divBdr>
        <w:top w:val="none" w:sz="0" w:space="0" w:color="auto"/>
        <w:left w:val="none" w:sz="0" w:space="0" w:color="auto"/>
        <w:bottom w:val="none" w:sz="0" w:space="0" w:color="auto"/>
        <w:right w:val="none" w:sz="0" w:space="0" w:color="auto"/>
      </w:divBdr>
    </w:div>
    <w:div w:id="1654329132">
      <w:bodyDiv w:val="1"/>
      <w:marLeft w:val="0"/>
      <w:marRight w:val="0"/>
      <w:marTop w:val="0"/>
      <w:marBottom w:val="0"/>
      <w:divBdr>
        <w:top w:val="none" w:sz="0" w:space="0" w:color="auto"/>
        <w:left w:val="none" w:sz="0" w:space="0" w:color="auto"/>
        <w:bottom w:val="none" w:sz="0" w:space="0" w:color="auto"/>
        <w:right w:val="none" w:sz="0" w:space="0" w:color="auto"/>
      </w:divBdr>
    </w:div>
    <w:div w:id="1655337119">
      <w:bodyDiv w:val="1"/>
      <w:marLeft w:val="0"/>
      <w:marRight w:val="0"/>
      <w:marTop w:val="0"/>
      <w:marBottom w:val="0"/>
      <w:divBdr>
        <w:top w:val="none" w:sz="0" w:space="0" w:color="auto"/>
        <w:left w:val="none" w:sz="0" w:space="0" w:color="auto"/>
        <w:bottom w:val="none" w:sz="0" w:space="0" w:color="auto"/>
        <w:right w:val="none" w:sz="0" w:space="0" w:color="auto"/>
      </w:divBdr>
    </w:div>
    <w:div w:id="1711882096">
      <w:bodyDiv w:val="1"/>
      <w:marLeft w:val="0"/>
      <w:marRight w:val="0"/>
      <w:marTop w:val="0"/>
      <w:marBottom w:val="0"/>
      <w:divBdr>
        <w:top w:val="none" w:sz="0" w:space="0" w:color="auto"/>
        <w:left w:val="none" w:sz="0" w:space="0" w:color="auto"/>
        <w:bottom w:val="none" w:sz="0" w:space="0" w:color="auto"/>
        <w:right w:val="none" w:sz="0" w:space="0" w:color="auto"/>
      </w:divBdr>
    </w:div>
    <w:div w:id="1865896353">
      <w:bodyDiv w:val="1"/>
      <w:marLeft w:val="0"/>
      <w:marRight w:val="0"/>
      <w:marTop w:val="0"/>
      <w:marBottom w:val="0"/>
      <w:divBdr>
        <w:top w:val="none" w:sz="0" w:space="0" w:color="auto"/>
        <w:left w:val="none" w:sz="0" w:space="0" w:color="auto"/>
        <w:bottom w:val="none" w:sz="0" w:space="0" w:color="auto"/>
        <w:right w:val="none" w:sz="0" w:space="0" w:color="auto"/>
      </w:divBdr>
    </w:div>
    <w:div w:id="1914656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5" Type="http://schemas.openxmlformats.org/officeDocument/2006/relationships/theme" Target="theme/theme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DELL\Documents\Medibuddy%20Project%20analysi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DELL\Documents\Medibuddy%20Project%20analysi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DELL\Documents\Medibuddy%20Project%20analysi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DELL\Documents\Medibuddy%20Project%20analysi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DELL\Documents\Medibuddy%20Project%20analysis.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DELL\Documents\Medibuddy%20Project%20analysis.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DELL\Documents\Medibuddy%20Project%20analysi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solidFill>
                  <a:schemeClr val="tx1">
                    <a:lumMod val="65000"/>
                    <a:lumOff val="35000"/>
                  </a:schemeClr>
                </a:solidFill>
              </a:rPr>
              <a:t>Distribution</a:t>
            </a:r>
            <a:r>
              <a:rPr lang="en-US" baseline="0">
                <a:solidFill>
                  <a:schemeClr val="tx1">
                    <a:lumMod val="65000"/>
                    <a:lumOff val="35000"/>
                  </a:schemeClr>
                </a:solidFill>
              </a:rPr>
              <a:t> of policies</a:t>
            </a:r>
            <a:endParaRPr lang="en-US">
              <a:solidFill>
                <a:schemeClr val="tx1">
                  <a:lumMod val="65000"/>
                  <a:lumOff val="35000"/>
                </a:schemeClr>
              </a:solidFill>
            </a:endParaRPr>
          </a:p>
        </c:rich>
      </c:tx>
    </c:title>
    <c:pivotFmts>
      <c:pivotFmt>
        <c:idx val="0"/>
        <c:marker>
          <c:symbol val="none"/>
        </c:marker>
      </c:pivotFmt>
    </c:pivotFmts>
    <c:plotArea>
      <c:layout/>
      <c:pieChart>
        <c:varyColors val="1"/>
        <c:ser>
          <c:idx val="0"/>
          <c:order val="0"/>
          <c:tx>
            <c:v>Total</c:v>
          </c:tx>
          <c:cat>
            <c:strLit>
              <c:ptCount val="2"/>
              <c:pt idx="0">
                <c:v>female</c:v>
              </c:pt>
              <c:pt idx="1">
                <c:v>male</c:v>
              </c:pt>
            </c:strLit>
          </c:cat>
          <c:val>
            <c:numLit>
              <c:formatCode>General</c:formatCode>
              <c:ptCount val="2"/>
              <c:pt idx="0">
                <c:v>0.49476831091180939</c:v>
              </c:pt>
              <c:pt idx="1">
                <c:v>0.50523168908819105</c:v>
              </c:pt>
            </c:numLit>
          </c:val>
        </c:ser>
        <c:firstSliceAng val="0"/>
      </c:pieChart>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style val="3"/>
  <c:chart>
    <c:title>
      <c:tx>
        <c:rich>
          <a:bodyPr/>
          <a:lstStyle/>
          <a:p>
            <a:pPr>
              <a:defRPr/>
            </a:pPr>
            <a:r>
              <a:rPr lang="en-US">
                <a:solidFill>
                  <a:schemeClr val="tx1">
                    <a:lumMod val="65000"/>
                    <a:lumOff val="35000"/>
                  </a:schemeClr>
                </a:solidFill>
              </a:rPr>
              <a:t>Average</a:t>
            </a:r>
            <a:r>
              <a:rPr lang="en-US" baseline="0">
                <a:solidFill>
                  <a:schemeClr val="tx1">
                    <a:lumMod val="65000"/>
                    <a:lumOff val="35000"/>
                  </a:schemeClr>
                </a:solidFill>
              </a:rPr>
              <a:t> charges from gender</a:t>
            </a:r>
          </a:p>
        </c:rich>
      </c:tx>
    </c:title>
    <c:pivotFmts>
      <c:pivotFmt>
        <c:idx val="0"/>
        <c:marker>
          <c:symbol val="none"/>
        </c:marker>
        <c:dLbl>
          <c:idx val="0"/>
          <c:delete val="1"/>
        </c:dLbl>
      </c:pivotFmt>
    </c:pivotFmts>
    <c:plotArea>
      <c:layout/>
      <c:barChart>
        <c:barDir val="col"/>
        <c:grouping val="clustered"/>
        <c:ser>
          <c:idx val="0"/>
          <c:order val="0"/>
          <c:tx>
            <c:v>Total</c:v>
          </c:tx>
          <c:cat>
            <c:strLit>
              <c:ptCount val="2"/>
              <c:pt idx="0">
                <c:v>female</c:v>
              </c:pt>
              <c:pt idx="1">
                <c:v>male</c:v>
              </c:pt>
            </c:strLit>
          </c:cat>
          <c:val>
            <c:numLit>
              <c:formatCode>General</c:formatCode>
              <c:ptCount val="2"/>
              <c:pt idx="0">
                <c:v>12569.578843835299</c:v>
              </c:pt>
              <c:pt idx="1">
                <c:v>13956.751177721902</c:v>
              </c:pt>
            </c:numLit>
          </c:val>
        </c:ser>
        <c:axId val="84698624"/>
        <c:axId val="98042240"/>
      </c:barChart>
      <c:catAx>
        <c:axId val="84698624"/>
        <c:scaling>
          <c:orientation val="minMax"/>
        </c:scaling>
        <c:axPos val="b"/>
        <c:majorTickMark val="none"/>
        <c:tickLblPos val="nextTo"/>
        <c:crossAx val="98042240"/>
        <c:crosses val="autoZero"/>
        <c:auto val="1"/>
        <c:lblAlgn val="ctr"/>
        <c:lblOffset val="100"/>
      </c:catAx>
      <c:valAx>
        <c:axId val="98042240"/>
        <c:scaling>
          <c:orientation val="minMax"/>
        </c:scaling>
        <c:axPos val="l"/>
        <c:majorGridlines/>
        <c:numFmt formatCode="General" sourceLinked="1"/>
        <c:majorTickMark val="none"/>
        <c:tickLblPos val="nextTo"/>
        <c:crossAx val="84698624"/>
        <c:crosses val="autoZero"/>
        <c:crossBetween val="between"/>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style val="4"/>
  <c:chart>
    <c:title>
      <c:tx>
        <c:rich>
          <a:bodyPr/>
          <a:lstStyle/>
          <a:p>
            <a:pPr>
              <a:defRPr/>
            </a:pPr>
            <a:r>
              <a:rPr lang="en-US">
                <a:solidFill>
                  <a:schemeClr val="tx1">
                    <a:lumMod val="65000"/>
                    <a:lumOff val="35000"/>
                  </a:schemeClr>
                </a:solidFill>
              </a:rPr>
              <a:t>Average</a:t>
            </a:r>
            <a:r>
              <a:rPr lang="en-US" baseline="0">
                <a:solidFill>
                  <a:schemeClr val="tx1">
                    <a:lumMod val="65000"/>
                    <a:lumOff val="35000"/>
                  </a:schemeClr>
                </a:solidFill>
              </a:rPr>
              <a:t> Insurance Claims Across Region </a:t>
            </a:r>
            <a:endParaRPr lang="en-US">
              <a:solidFill>
                <a:schemeClr val="tx1">
                  <a:lumMod val="65000"/>
                  <a:lumOff val="35000"/>
                </a:schemeClr>
              </a:solidFill>
            </a:endParaRPr>
          </a:p>
        </c:rich>
      </c:tx>
    </c:title>
    <c:pivotFmts>
      <c:pivotFmt>
        <c:idx val="0"/>
      </c:pivotFmt>
    </c:pivotFmts>
    <c:plotArea>
      <c:layout/>
      <c:barChart>
        <c:barDir val="col"/>
        <c:grouping val="clustered"/>
        <c:ser>
          <c:idx val="0"/>
          <c:order val="0"/>
          <c:tx>
            <c:v>Total</c:v>
          </c:tx>
          <c:cat>
            <c:strLit>
              <c:ptCount val="4"/>
              <c:pt idx="0">
                <c:v>northeast</c:v>
              </c:pt>
              <c:pt idx="1">
                <c:v>northwest</c:v>
              </c:pt>
              <c:pt idx="2">
                <c:v>southeast</c:v>
              </c:pt>
              <c:pt idx="3">
                <c:v>southwest</c:v>
              </c:pt>
            </c:strLit>
          </c:cat>
          <c:val>
            <c:numLit>
              <c:formatCode>General</c:formatCode>
              <c:ptCount val="4"/>
              <c:pt idx="0">
                <c:v>13406.3845163858</c:v>
              </c:pt>
              <c:pt idx="1">
                <c:v>12417.575373969185</c:v>
              </c:pt>
              <c:pt idx="2">
                <c:v>14735.411437609902</c:v>
              </c:pt>
              <c:pt idx="3">
                <c:v>12346.937377292306</c:v>
              </c:pt>
            </c:numLit>
          </c:val>
        </c:ser>
        <c:axId val="118553984"/>
        <c:axId val="120593792"/>
      </c:barChart>
      <c:catAx>
        <c:axId val="118553984"/>
        <c:scaling>
          <c:orientation val="minMax"/>
        </c:scaling>
        <c:axPos val="b"/>
        <c:tickLblPos val="nextTo"/>
        <c:crossAx val="120593792"/>
        <c:crosses val="autoZero"/>
        <c:auto val="1"/>
        <c:lblAlgn val="ctr"/>
        <c:lblOffset val="100"/>
      </c:catAx>
      <c:valAx>
        <c:axId val="120593792"/>
        <c:scaling>
          <c:orientation val="minMax"/>
        </c:scaling>
        <c:axPos val="l"/>
        <c:majorGridlines/>
        <c:numFmt formatCode="General" sourceLinked="1"/>
        <c:tickLblPos val="nextTo"/>
        <c:crossAx val="118553984"/>
        <c:crosses val="autoZero"/>
        <c:crossBetween val="between"/>
      </c:valAx>
    </c:plotArea>
    <c:legend>
      <c:legendPos val="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IN" sz="1800" b="1" i="0" baseline="0">
                <a:solidFill>
                  <a:schemeClr val="tx1">
                    <a:lumMod val="65000"/>
                    <a:lumOff val="35000"/>
                  </a:schemeClr>
                </a:solidFill>
              </a:rPr>
              <a:t>Percentage Share of Claims by Region</a:t>
            </a:r>
            <a:endParaRPr lang="en-US" sz="1800" b="1" i="0" baseline="0">
              <a:solidFill>
                <a:schemeClr val="tx1">
                  <a:lumMod val="65000"/>
                  <a:lumOff val="35000"/>
                </a:schemeClr>
              </a:solidFill>
            </a:endParaRPr>
          </a:p>
        </c:rich>
      </c:tx>
      <c:layout>
        <c:manualLayout>
          <c:xMode val="edge"/>
          <c:yMode val="edge"/>
          <c:x val="0.1225980344719436"/>
          <c:y val="1.9298250279311781E-2"/>
        </c:manualLayout>
      </c:layout>
    </c:title>
    <c:pivotFmts>
      <c:pivotFmt>
        <c:idx val="0"/>
        <c:marker>
          <c:symbol val="none"/>
        </c:marker>
      </c:pivotFmt>
    </c:pivotFmts>
    <c:plotArea>
      <c:layout/>
      <c:pieChart>
        <c:varyColors val="1"/>
        <c:ser>
          <c:idx val="0"/>
          <c:order val="0"/>
          <c:tx>
            <c:v>Total</c:v>
          </c:tx>
          <c:cat>
            <c:strLit>
              <c:ptCount val="4"/>
              <c:pt idx="0">
                <c:v>northeast</c:v>
              </c:pt>
              <c:pt idx="1">
                <c:v>northwest</c:v>
              </c:pt>
              <c:pt idx="2">
                <c:v>southeast</c:v>
              </c:pt>
              <c:pt idx="3">
                <c:v>southwest</c:v>
              </c:pt>
            </c:strLit>
          </c:cat>
          <c:val>
            <c:numLit>
              <c:formatCode>General</c:formatCode>
              <c:ptCount val="4"/>
              <c:pt idx="0">
                <c:v>0.24215246636771301</c:v>
              </c:pt>
              <c:pt idx="1">
                <c:v>0.24289985052316918</c:v>
              </c:pt>
              <c:pt idx="2">
                <c:v>0.272047832585949</c:v>
              </c:pt>
              <c:pt idx="3">
                <c:v>0.24289985052316918</c:v>
              </c:pt>
            </c:numLit>
          </c:val>
        </c:ser>
        <c:firstSliceAng val="0"/>
      </c:pieChart>
    </c:plotArea>
    <c:legend>
      <c:legendPos val="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Average</a:t>
            </a:r>
            <a:r>
              <a:rPr lang="en-US" baseline="0"/>
              <a:t> amout paid by number of childrens</a:t>
            </a:r>
            <a:endParaRPr lang="en-US"/>
          </a:p>
        </c:rich>
      </c:tx>
    </c:title>
    <c:pivotFmts>
      <c:pivotFmt>
        <c:idx val="0"/>
        <c:marker>
          <c:symbol val="none"/>
        </c:marker>
      </c:pivotFmt>
    </c:pivotFmts>
    <c:plotArea>
      <c:layout/>
      <c:barChart>
        <c:barDir val="col"/>
        <c:grouping val="clustered"/>
        <c:ser>
          <c:idx val="0"/>
          <c:order val="0"/>
          <c:tx>
            <c:v>Total</c:v>
          </c:tx>
          <c:cat>
            <c:strLit>
              <c:ptCount val="6"/>
              <c:pt idx="0">
                <c:v>0</c:v>
              </c:pt>
              <c:pt idx="1">
                <c:v>1</c:v>
              </c:pt>
              <c:pt idx="2">
                <c:v>2</c:v>
              </c:pt>
              <c:pt idx="3">
                <c:v>3</c:v>
              </c:pt>
              <c:pt idx="4">
                <c:v>4</c:v>
              </c:pt>
              <c:pt idx="5">
                <c:v>5</c:v>
              </c:pt>
            </c:strLit>
          </c:cat>
          <c:val>
            <c:numLit>
              <c:formatCode>General</c:formatCode>
              <c:ptCount val="6"/>
              <c:pt idx="0">
                <c:v>12365.975601635901</c:v>
              </c:pt>
              <c:pt idx="1">
                <c:v>12731.1718316358</c:v>
              </c:pt>
              <c:pt idx="2">
                <c:v>15073.563733958301</c:v>
              </c:pt>
              <c:pt idx="3">
                <c:v>15355.318366815309</c:v>
              </c:pt>
              <c:pt idx="4">
                <c:v>13850.656311199999</c:v>
              </c:pt>
              <c:pt idx="5">
                <c:v>8786.0352472222294</c:v>
              </c:pt>
            </c:numLit>
          </c:val>
        </c:ser>
        <c:axId val="80169600"/>
        <c:axId val="80175488"/>
      </c:barChart>
      <c:catAx>
        <c:axId val="80169600"/>
        <c:scaling>
          <c:orientation val="minMax"/>
        </c:scaling>
        <c:axPos val="b"/>
        <c:tickLblPos val="nextTo"/>
        <c:crossAx val="80175488"/>
        <c:crosses val="autoZero"/>
        <c:auto val="1"/>
        <c:lblAlgn val="ctr"/>
        <c:lblOffset val="100"/>
      </c:catAx>
      <c:valAx>
        <c:axId val="80175488"/>
        <c:scaling>
          <c:orientation val="minMax"/>
        </c:scaling>
        <c:axPos val="l"/>
        <c:majorGridlines/>
        <c:numFmt formatCode="General" sourceLinked="1"/>
        <c:tickLblPos val="nextTo"/>
        <c:crossAx val="80169600"/>
        <c:crosses val="autoZero"/>
        <c:crossBetween val="between"/>
      </c:valAx>
    </c:plotArea>
    <c:legend>
      <c:legendPos val="r"/>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chart>
    <c:title/>
    <c:pivotFmts>
      <c:pivotFmt>
        <c:idx val="0"/>
      </c:pivotFmt>
      <c:pivotFmt>
        <c:idx val="1"/>
      </c:pivotFmt>
    </c:pivotFmts>
    <c:plotArea>
      <c:layout/>
      <c:barChart>
        <c:barDir val="col"/>
        <c:grouping val="stacked"/>
        <c:ser>
          <c:idx val="0"/>
          <c:order val="0"/>
          <c:tx>
            <c:v>Total</c:v>
          </c:tx>
          <c:cat>
            <c:strLit>
              <c:ptCount val="4"/>
              <c:pt idx="0">
                <c:v>Normal weight</c:v>
              </c:pt>
              <c:pt idx="1">
                <c:v>Obese</c:v>
              </c:pt>
              <c:pt idx="2">
                <c:v>Overweight</c:v>
              </c:pt>
              <c:pt idx="3">
                <c:v>Underweight</c:v>
              </c:pt>
            </c:strLit>
          </c:cat>
          <c:val>
            <c:numLit>
              <c:formatCode>General</c:formatCode>
              <c:ptCount val="4"/>
              <c:pt idx="0">
                <c:v>10409.337708977802</c:v>
              </c:pt>
              <c:pt idx="1">
                <c:v>15552.335468868499</c:v>
              </c:pt>
              <c:pt idx="2">
                <c:v>10987.509891318699</c:v>
              </c:pt>
              <c:pt idx="3">
                <c:v>8852.2005850000005</c:v>
              </c:pt>
            </c:numLit>
          </c:val>
        </c:ser>
        <c:gapWidth val="300"/>
        <c:overlap val="100"/>
        <c:serLines/>
        <c:axId val="80195968"/>
        <c:axId val="80197504"/>
      </c:barChart>
      <c:catAx>
        <c:axId val="80195968"/>
        <c:scaling>
          <c:orientation val="minMax"/>
        </c:scaling>
        <c:axPos val="b"/>
        <c:majorTickMark val="none"/>
        <c:tickLblPos val="nextTo"/>
        <c:crossAx val="80197504"/>
        <c:crosses val="autoZero"/>
        <c:auto val="1"/>
        <c:lblAlgn val="ctr"/>
        <c:lblOffset val="100"/>
      </c:catAx>
      <c:valAx>
        <c:axId val="80197504"/>
        <c:scaling>
          <c:orientation val="minMax"/>
        </c:scaling>
        <c:axPos val="l"/>
        <c:majorGridlines/>
        <c:numFmt formatCode="General" sourceLinked="1"/>
        <c:tickLblPos val="nextTo"/>
        <c:crossAx val="80195968"/>
        <c:crosses val="autoZero"/>
        <c:crossBetween val="between"/>
      </c:valAx>
    </c:plotArea>
    <c:legend>
      <c:legendPos val="r"/>
    </c:legend>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US"/>
  <c:style val="4"/>
  <c:chart>
    <c:title>
      <c:tx>
        <c:rich>
          <a:bodyPr/>
          <a:lstStyle/>
          <a:p>
            <a:pPr>
              <a:defRPr/>
            </a:pPr>
            <a:r>
              <a:rPr lang="en-US"/>
              <a:t>Average</a:t>
            </a:r>
            <a:r>
              <a:rPr lang="en-US" baseline="0"/>
              <a:t> charges by smoking status</a:t>
            </a:r>
          </a:p>
        </c:rich>
      </c:tx>
    </c:title>
    <c:pivotFmts>
      <c:pivotFmt>
        <c:idx val="0"/>
      </c:pivotFmt>
    </c:pivotFmts>
    <c:view3D>
      <c:perspective val="30"/>
    </c:view3D>
    <c:plotArea>
      <c:layout/>
      <c:pie3DChart>
        <c:varyColors val="1"/>
        <c:ser>
          <c:idx val="0"/>
          <c:order val="0"/>
          <c:tx>
            <c:v>Total</c:v>
          </c:tx>
          <c:explosion val="25"/>
          <c:cat>
            <c:strLit>
              <c:ptCount val="2"/>
              <c:pt idx="0">
                <c:v>no</c:v>
              </c:pt>
              <c:pt idx="1">
                <c:v>yes</c:v>
              </c:pt>
            </c:strLit>
          </c:cat>
          <c:val>
            <c:numLit>
              <c:formatCode>General</c:formatCode>
              <c:ptCount val="2"/>
              <c:pt idx="0">
                <c:v>8434.2682978562098</c:v>
              </c:pt>
              <c:pt idx="1">
                <c:v>32050.231831532801</c:v>
              </c:pt>
            </c:numLit>
          </c:val>
        </c:ser>
      </c:pie3DChart>
    </c:plotArea>
    <c:legend>
      <c:legendPos val="r"/>
    </c:legend>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US"/>
  <c:style val="38"/>
  <c:chart>
    <c:title>
      <c:tx>
        <c:rich>
          <a:bodyPr/>
          <a:lstStyle/>
          <a:p>
            <a:pPr>
              <a:defRPr/>
            </a:pPr>
            <a:r>
              <a:rPr lang="en-US"/>
              <a:t>Average insurance</a:t>
            </a:r>
            <a:r>
              <a:rPr lang="en-US" baseline="0"/>
              <a:t> charges across different age group</a:t>
            </a:r>
            <a:endParaRPr lang="en-US"/>
          </a:p>
        </c:rich>
      </c:tx>
    </c:title>
    <c:pivotFmts>
      <c:pivotFmt>
        <c:idx val="0"/>
      </c:pivotFmt>
    </c:pivotFmts>
    <c:plotArea>
      <c:layout/>
      <c:barChart>
        <c:barDir val="col"/>
        <c:grouping val="stacked"/>
        <c:ser>
          <c:idx val="0"/>
          <c:order val="0"/>
          <c:tx>
            <c:v>Total</c:v>
          </c:tx>
          <c:cat>
            <c:strLit>
              <c:ptCount val="3"/>
              <c:pt idx="0">
                <c:v>Adult</c:v>
              </c:pt>
              <c:pt idx="1">
                <c:v>Senior</c:v>
              </c:pt>
              <c:pt idx="2">
                <c:v>Youth</c:v>
              </c:pt>
            </c:strLit>
          </c:cat>
          <c:val>
            <c:numLit>
              <c:formatCode>General</c:formatCode>
              <c:ptCount val="3"/>
              <c:pt idx="0">
                <c:v>12382.503459925909</c:v>
              </c:pt>
              <c:pt idx="1">
                <c:v>17902.552070363596</c:v>
              </c:pt>
              <c:pt idx="2">
                <c:v>9011.3403173345305</c:v>
              </c:pt>
            </c:numLit>
          </c:val>
        </c:ser>
        <c:gapWidth val="300"/>
        <c:overlap val="100"/>
        <c:serLines/>
        <c:axId val="80478208"/>
        <c:axId val="80479744"/>
      </c:barChart>
      <c:catAx>
        <c:axId val="80478208"/>
        <c:scaling>
          <c:orientation val="minMax"/>
        </c:scaling>
        <c:axPos val="b"/>
        <c:majorTickMark val="none"/>
        <c:tickLblPos val="nextTo"/>
        <c:crossAx val="80479744"/>
        <c:crosses val="autoZero"/>
        <c:auto val="1"/>
        <c:lblAlgn val="ctr"/>
        <c:lblOffset val="100"/>
      </c:catAx>
      <c:valAx>
        <c:axId val="80479744"/>
        <c:scaling>
          <c:orientation val="minMax"/>
        </c:scaling>
        <c:axPos val="l"/>
        <c:majorGridlines/>
        <c:numFmt formatCode="General" sourceLinked="1"/>
        <c:tickLblPos val="nextTo"/>
        <c:crossAx val="80478208"/>
        <c:crosses val="autoZero"/>
        <c:crossBetween val="between"/>
      </c:valAx>
    </c:plotArea>
    <c:legend>
      <c:legendPos val="r"/>
    </c:legend>
    <c:plotVisOnly val="1"/>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n-US"/>
  <c:style val="36"/>
  <c:chart>
    <c:title>
      <c:tx>
        <c:rich>
          <a:bodyPr/>
          <a:lstStyle/>
          <a:p>
            <a:pPr>
              <a:defRPr/>
            </a:pPr>
            <a:r>
              <a:rPr lang="en-US"/>
              <a:t>Impact</a:t>
            </a:r>
            <a:r>
              <a:rPr lang="en-US" baseline="0"/>
              <a:t> of BMI on average insurance charges</a:t>
            </a:r>
            <a:endParaRPr lang="en-US"/>
          </a:p>
        </c:rich>
      </c:tx>
    </c:title>
    <c:pivotFmts>
      <c:pivotFmt>
        <c:idx val="0"/>
      </c:pivotFmt>
    </c:pivotFmts>
    <c:plotArea>
      <c:layout/>
      <c:barChart>
        <c:barDir val="bar"/>
        <c:grouping val="clustered"/>
        <c:ser>
          <c:idx val="0"/>
          <c:order val="0"/>
          <c:tx>
            <c:v>Total</c:v>
          </c:tx>
          <c:cat>
            <c:strLit>
              <c:ptCount val="4"/>
              <c:pt idx="0">
                <c:v>Normal weight</c:v>
              </c:pt>
              <c:pt idx="1">
                <c:v>Obese</c:v>
              </c:pt>
              <c:pt idx="2">
                <c:v>Overweight</c:v>
              </c:pt>
              <c:pt idx="3">
                <c:v>Underweight</c:v>
              </c:pt>
            </c:strLit>
          </c:cat>
          <c:val>
            <c:numLit>
              <c:formatCode>General</c:formatCode>
              <c:ptCount val="4"/>
              <c:pt idx="0">
                <c:v>10409.337708977802</c:v>
              </c:pt>
              <c:pt idx="1">
                <c:v>15552.335468868499</c:v>
              </c:pt>
              <c:pt idx="2">
                <c:v>10987.509891318699</c:v>
              </c:pt>
              <c:pt idx="3">
                <c:v>8852.2005850000005</c:v>
              </c:pt>
            </c:numLit>
          </c:val>
        </c:ser>
        <c:axId val="80536704"/>
        <c:axId val="80538240"/>
      </c:barChart>
      <c:catAx>
        <c:axId val="80536704"/>
        <c:scaling>
          <c:orientation val="minMax"/>
        </c:scaling>
        <c:axPos val="l"/>
        <c:tickLblPos val="nextTo"/>
        <c:crossAx val="80538240"/>
        <c:crosses val="autoZero"/>
        <c:auto val="1"/>
        <c:lblAlgn val="ctr"/>
        <c:lblOffset val="100"/>
      </c:catAx>
      <c:valAx>
        <c:axId val="80538240"/>
        <c:scaling>
          <c:orientation val="minMax"/>
        </c:scaling>
        <c:axPos val="b"/>
        <c:majorGridlines/>
        <c:numFmt formatCode="General" sourceLinked="1"/>
        <c:tickLblPos val="nextTo"/>
        <c:crossAx val="80536704"/>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888</Words>
  <Characters>5067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Arnab Bandyopadhyay</dc:creator>
  <cp:lastModifiedBy>DELL</cp:lastModifiedBy>
  <cp:revision>2</cp:revision>
  <dcterms:created xsi:type="dcterms:W3CDTF">2025-03-25T05:37:00Z</dcterms:created>
  <dcterms:modified xsi:type="dcterms:W3CDTF">2025-03-25T05:37:00Z</dcterms:modified>
</cp:coreProperties>
</file>