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35.png" ContentType="image/png"/>
  <Override PartName="/word/media/rId71.png" ContentType="image/png"/>
  <Override PartName="/word/media/rId66.png" ContentType="image/png"/>
  <Override PartName="/word/media/rId61.png" ContentType="image/png"/>
  <Override PartName="/word/media/rId56.png" ContentType="image/png"/>
  <Override PartName="/word/media/rId25.png" ContentType="image/png"/>
  <Override PartName="/word/media/rId81.png" ContentType="image/png"/>
  <Override PartName="/word/media/rId76.png" ContentType="image/png"/>
  <Override PartName="/word/media/rId125.png" ContentType="image/png"/>
  <Override PartName="/word/media/rId102.png" ContentType="image/png"/>
  <Override PartName="/word/media/rId97.png" ContentType="image/png"/>
  <Override PartName="/word/media/rId112.png" ContentType="image/png"/>
  <Override PartName="/word/media/rId107.png" ContentType="image/png"/>
  <Override PartName="/word/media/rId44.png" ContentType="image/png"/>
  <Override PartName="/word/media/rId49.png" ContentType="image/png"/>
  <Override PartName="/word/media/rId20.png" ContentType="image/png"/>
  <Override PartName="/word/media/rId130.png" ContentType="image/png"/>
  <Override PartName="/word/media/rId1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Inflation Analysis Report</w:t>
      </w:r>
    </w:p>
    <w:p>
      <w:pPr>
        <w:pStyle w:val="Date"/>
      </w:pPr>
      <w:r>
        <w:t xml:space="preserve">2026-01-12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overall-consumer-price-index-heatmap"/>
    <w:p>
      <w:pPr>
        <w:pStyle w:val="Heading1"/>
      </w:pPr>
      <w:r>
        <w:t xml:space="preserve">1. Overall Consumer Price Index Heatmap</w:t>
      </w:r>
    </w:p>
    <w:bookmarkStart w:id="24" w:name="year-on-year-change"/>
    <w:p>
      <w:pPr>
        <w:pStyle w:val="Heading2"/>
      </w:pPr>
      <w:r>
        <w:t xml:space="preserve">1.1 Year-on-Year Change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yoy-heatmap"/>
          <w:p>
            <w:pPr>
              <w:pStyle w:val="Compact"/>
              <w:jc w:val="center"/>
            </w:pPr>
            <w:r>
              <w:drawing>
                <wp:inline>
                  <wp:extent cx="5334000" cy="343073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inflation_analysis_files/figure-docx/fig-yoy-heatmap-output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3073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Consumer Price Index - Year-on-Year Change Heatmap</w:t>
            </w:r>
          </w:p>
          <w:bookmarkEnd w:id="23"/>
        </w:tc>
      </w:tr>
    </w:tbl>
    <w:bookmarkEnd w:id="24"/>
    <w:bookmarkStart w:id="29" w:name="month-on-month-change"/>
    <w:p>
      <w:pPr>
        <w:pStyle w:val="Heading2"/>
      </w:pPr>
      <w:r>
        <w:t xml:space="preserve">1.2 Month-on-Month Change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mom-heatmap"/>
          <w:p>
            <w:pPr>
              <w:pStyle w:val="Compact"/>
              <w:jc w:val="center"/>
            </w:pPr>
            <w:r>
              <w:drawing>
                <wp:inline>
                  <wp:extent cx="5334000" cy="3310355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inflation_analysis_files/figure-docx/fig-mom-heatmap-output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103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Consumer Price Index - Month-on-Month Change Heatmap</w:t>
            </w:r>
          </w:p>
          <w:bookmarkEnd w:id="28"/>
        </w:tc>
      </w:tr>
    </w:tbl>
    <w:bookmarkEnd w:id="29"/>
    <w:bookmarkEnd w:id="30"/>
    <w:bookmarkStart w:id="43" w:name="category-wise-inflation-breakdown"/>
    <w:p>
      <w:pPr>
        <w:pStyle w:val="Heading1"/>
      </w:pPr>
      <w:r>
        <w:t xml:space="preserve">2. Category-wise Inflation Breakdown</w:t>
      </w:r>
    </w:p>
    <w:p>
      <w:pPr>
        <w:pStyle w:val="FirstParagraph"/>
      </w:pPr>
      <w:r>
        <w:t xml:space="preserve">This section shows how different CPI categories contribute to overall inflation, providing insights into which sectors are driving price changes.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ategory-breakdown"/>
          <w:p>
            <w:pPr>
              <w:pStyle w:val="Compact"/>
              <w:jc w:val="center"/>
            </w:pPr>
            <w:r>
              <w:drawing>
                <wp:inline>
                  <wp:extent cx="5334000" cy="30308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nflation_analysis_files/figure-docx/fig-category-breakdown-output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308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CPI Category Breakdown: Overall Inflation Line with Category Components</w:t>
            </w:r>
          </w:p>
          <w:bookmarkEnd w:id="34"/>
        </w:tc>
      </w:tr>
    </w:tbl>
    <w:bookmarkStart w:id="39" w:name="category-contributions-analysis"/>
    <w:p>
      <w:pPr>
        <w:pStyle w:val="Heading2"/>
      </w:pPr>
      <w:r>
        <w:t xml:space="preserve">2.1 Category Contributions Analysis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category-stacked"/>
          <w:p>
            <w:pPr>
              <w:pStyle w:val="Compact"/>
              <w:jc w:val="center"/>
            </w:pPr>
            <w:r>
              <w:drawing>
                <wp:inline>
                  <wp:extent cx="5334000" cy="30308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inflation_analysis_files/figure-docx/fig-category-stacked-output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308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Category-wise Inflation Rates - Stacked View</w:t>
            </w:r>
          </w:p>
          <w:bookmarkEnd w:id="38"/>
        </w:tc>
      </w:tr>
    </w:tbl>
    <w:bookmarkEnd w:id="39"/>
    <w:bookmarkStart w:id="42" w:name="recent-category-trends"/>
    <w:p>
      <w:pPr>
        <w:pStyle w:val="Heading2"/>
      </w:pPr>
      <w:r>
        <w:t xml:space="preserve">2.2 Recent Category Trends</w:t>
      </w:r>
    </w:p>
    <w:bookmarkStart w:id="40" w:name="current-month-october-2025"/>
    <w:p>
      <w:pPr>
        <w:pStyle w:val="Heading3"/>
      </w:pPr>
      <w:r>
        <w:t xml:space="preserve">2.2.1 Current Month: October 2025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Current YoY (%)</w:t>
            </w:r>
          </w:p>
        </w:tc>
        <w:tc>
          <w:tcPr/>
          <w:p>
            <w:pPr>
              <w:pStyle w:val="Compact"/>
            </w:pPr>
            <w:r>
              <w:t xml:space="preserve">Previous Month (%)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Food &amp; Beverages</w:t>
            </w:r>
          </w:p>
        </w:tc>
        <w:tc>
          <w:tcPr/>
          <w:p>
            <w:pPr>
              <w:pStyle w:val="Compact"/>
            </w:pPr>
            <w:r>
              <w:t xml:space="preserve">-3.72%</w:t>
            </w:r>
          </w:p>
        </w:tc>
        <w:tc>
          <w:tcPr/>
          <w:p>
            <w:pPr>
              <w:pStyle w:val="Compact"/>
            </w:pPr>
            <w:r>
              <w:t xml:space="preserve">-1.37%</w:t>
            </w:r>
          </w:p>
        </w:tc>
        <w:tc>
          <w:tcPr/>
          <w:p>
            <w:pPr>
              <w:pStyle w:val="Compact"/>
            </w:pPr>
            <w:r>
              <w:t xml:space="preserve">↓ 2.36pp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Pan, Tobacco &amp; Intox</w:t>
            </w:r>
          </w:p>
        </w:tc>
        <w:tc>
          <w:tcPr/>
          <w:p>
            <w:pPr>
              <w:pStyle w:val="Compact"/>
            </w:pPr>
            <w:r>
              <w:t xml:space="preserve">2.87%</w:t>
            </w:r>
          </w:p>
        </w:tc>
        <w:tc>
          <w:tcPr/>
          <w:p>
            <w:pPr>
              <w:pStyle w:val="Compact"/>
            </w:pPr>
            <w:r>
              <w:t xml:space="preserve">2.73%</w:t>
            </w:r>
          </w:p>
        </w:tc>
        <w:tc>
          <w:tcPr/>
          <w:p>
            <w:pPr>
              <w:pStyle w:val="Compact"/>
            </w:pPr>
            <w:r>
              <w:t xml:space="preserve">↑ 0.14pp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Clothing &amp; Footwear</w:t>
            </w:r>
          </w:p>
        </w:tc>
        <w:tc>
          <w:tcPr/>
          <w:p>
            <w:pPr>
              <w:pStyle w:val="Compact"/>
            </w:pPr>
            <w:r>
              <w:t xml:space="preserve">1.70%</w:t>
            </w:r>
          </w:p>
        </w:tc>
        <w:tc>
          <w:tcPr/>
          <w:p>
            <w:pPr>
              <w:pStyle w:val="Compact"/>
            </w:pPr>
            <w:r>
              <w:t xml:space="preserve">2.28%</w:t>
            </w:r>
          </w:p>
        </w:tc>
        <w:tc>
          <w:tcPr/>
          <w:p>
            <w:pPr>
              <w:pStyle w:val="Compact"/>
            </w:pPr>
            <w:r>
              <w:t xml:space="preserve">↓ 0.58pp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Housing</w:t>
            </w:r>
          </w:p>
        </w:tc>
        <w:tc>
          <w:tcPr/>
          <w:p>
            <w:pPr>
              <w:pStyle w:val="Compact"/>
            </w:pPr>
            <w:r>
              <w:t xml:space="preserve">2.96%</w:t>
            </w:r>
          </w:p>
        </w:tc>
        <w:tc>
          <w:tcPr/>
          <w:p>
            <w:pPr>
              <w:pStyle w:val="Compact"/>
            </w:pPr>
            <w:r>
              <w:t xml:space="preserve">2.98%</w:t>
            </w:r>
          </w:p>
        </w:tc>
        <w:tc>
          <w:tcPr/>
          <w:p>
            <w:pPr>
              <w:pStyle w:val="Compact"/>
            </w:pPr>
            <w:r>
              <w:t xml:space="preserve">↓ 0.03pp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Fuel &amp; Light</w:t>
            </w:r>
          </w:p>
        </w:tc>
        <w:tc>
          <w:tcPr/>
          <w:p>
            <w:pPr>
              <w:pStyle w:val="Compact"/>
            </w:pPr>
            <w:r>
              <w:t xml:space="preserve">1.98%</w:t>
            </w:r>
          </w:p>
        </w:tc>
        <w:tc>
          <w:tcPr/>
          <w:p>
            <w:pPr>
              <w:pStyle w:val="Compact"/>
            </w:pPr>
            <w:r>
              <w:t xml:space="preserve">1.98%</w:t>
            </w:r>
          </w:p>
        </w:tc>
        <w:tc>
          <w:tcPr/>
          <w:p>
            <w:pPr>
              <w:pStyle w:val="Compact"/>
            </w:pPr>
            <w:r>
              <w:t xml:space="preserve">↑ 0.00pp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Miscellaneous</w:t>
            </w:r>
          </w:p>
        </w:tc>
        <w:tc>
          <w:tcPr/>
          <w:p>
            <w:pPr>
              <w:pStyle w:val="Compact"/>
            </w:pPr>
            <w:r>
              <w:t xml:space="preserve">5.71%</w:t>
            </w:r>
          </w:p>
        </w:tc>
        <w:tc>
          <w:tcPr/>
          <w:p>
            <w:pPr>
              <w:pStyle w:val="Compact"/>
            </w:pPr>
            <w:r>
              <w:t xml:space="preserve">5.35%</w:t>
            </w:r>
          </w:p>
        </w:tc>
        <w:tc>
          <w:tcPr/>
          <w:p>
            <w:pPr>
              <w:pStyle w:val="Compact"/>
            </w:pPr>
            <w:r>
              <w:t xml:space="preserve">↑ 0.35pp</w:t>
            </w:r>
          </w:p>
        </w:tc>
      </w:tr>
    </w:tbl>
    <w:bookmarkEnd w:id="40"/>
    <w:bookmarkStart w:id="41" w:name="key-insights"/>
    <w:p>
      <w:pPr>
        <w:pStyle w:val="Heading3"/>
      </w:pPr>
      <w:r>
        <w:t xml:space="preserve">2.2.2 Key Insights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Highest inflation</w:t>
      </w:r>
      <w:r>
        <w:t xml:space="preserve">: Miscellaneous at 5.71% YoY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Lowest inflation</w:t>
      </w:r>
      <w:r>
        <w:t xml:space="preserve">: Food &amp; Beverages at -3.72% YoY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Categories in deflation</w:t>
      </w:r>
      <w:r>
        <w:t xml:space="preserve">: Food &amp; Beverages</w:t>
      </w:r>
    </w:p>
    <w:bookmarkEnd w:id="41"/>
    <w:bookmarkEnd w:id="42"/>
    <w:bookmarkEnd w:id="43"/>
    <w:bookmarkStart w:id="55" w:name="top-5-changes"/>
    <w:p>
      <w:pPr>
        <w:pStyle w:val="Heading1"/>
      </w:pPr>
      <w:r>
        <w:t xml:space="preserve">3. Top 5 Changes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top-changes"/>
          <w:p>
            <w:pPr>
              <w:pStyle w:val="Compact"/>
              <w:jc w:val="center"/>
            </w:pPr>
            <w:r>
              <w:drawing>
                <wp:inline>
                  <wp:extent cx="5334000" cy="425597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inflation_analysis_files/figure-docx/fig-top-changes-output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559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Top Inflationary and Deflationary Categories (Month-on-Month)</w:t>
            </w:r>
          </w:p>
          <w:bookmarkEnd w:id="47"/>
        </w:tc>
      </w:tr>
    </w:tbl>
    <w:bookmarkStart w:id="48" w:name="key-observations"/>
    <w:p>
      <w:pPr>
        <w:pStyle w:val="Heading2"/>
      </w:pPr>
      <w:r>
        <w:t xml:space="preserve">3.1 Key Observations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Food &amp; Beverages_YoY</w:t>
      </w:r>
      <w:r>
        <w:t xml:space="preserve"> </w:t>
      </w:r>
      <w:r>
        <w:t xml:space="preserve">experienced the highest inflationary pressure with a</w:t>
      </w:r>
      <w:r>
        <w:t xml:space="preserve"> </w:t>
      </w:r>
      <w:r>
        <w:rPr>
          <w:b/>
          <w:bCs/>
        </w:rPr>
        <w:t xml:space="preserve">172.45%</w:t>
      </w:r>
      <w:r>
        <w:t xml:space="preserve"> </w:t>
      </w:r>
      <w:r>
        <w:t xml:space="preserve">increase.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Radish</w:t>
      </w:r>
      <w:r>
        <w:t xml:space="preserve"> </w:t>
      </w:r>
      <w:r>
        <w:t xml:space="preserve">showed the largest deflationary trend with a</w:t>
      </w:r>
      <w:r>
        <w:t xml:space="preserve"> </w:t>
      </w:r>
      <w:r>
        <w:rPr>
          <w:b/>
          <w:bCs/>
        </w:rPr>
        <w:t xml:space="preserve">-9.41%</w:t>
      </w:r>
      <w:r>
        <w:t xml:space="preserve"> </w:t>
      </w:r>
      <w:r>
        <w:t xml:space="preserve">decrease.</w:t>
      </w:r>
    </w:p>
    <w:bookmarkEnd w:id="48"/>
    <w:bookmarkStart w:id="54" w:name="year-on-year-top-movers"/>
    <w:p>
      <w:pPr>
        <w:pStyle w:val="Heading2"/>
      </w:pPr>
      <w:r>
        <w:t xml:space="preserve">3.2 Year-on-Year Top Movers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top-changes-yoy"/>
          <w:p>
            <w:pPr>
              <w:pStyle w:val="Compact"/>
              <w:jc w:val="center"/>
            </w:pPr>
            <w:r>
              <w:drawing>
                <wp:inline>
                  <wp:extent cx="5334000" cy="425597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lation_analysis_files/figure-docx/fig-top-changes-yoy-output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559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Top Inflationary and Deflationary Categories (Year-on-Year)</w:t>
            </w:r>
          </w:p>
          <w:bookmarkEnd w:id="52"/>
        </w:tc>
      </w:tr>
    </w:tbl>
    <w:bookmarkStart w:id="53" w:name="key-observations-yoy"/>
    <w:p>
      <w:pPr>
        <w:pStyle w:val="Heading3"/>
      </w:pPr>
      <w:r>
        <w:t xml:space="preserve">3.2.1 Key Observations (YoY)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Coconut Oil</w:t>
      </w:r>
      <w:r>
        <w:t xml:space="preserve"> </w:t>
      </w:r>
      <w:r>
        <w:t xml:space="preserve">experienced the highest year-on-year inflationary pressure with a</w:t>
      </w:r>
      <w:r>
        <w:t xml:space="preserve"> </w:t>
      </w:r>
      <w:r>
        <w:rPr>
          <w:b/>
          <w:bCs/>
        </w:rPr>
        <w:t xml:space="preserve">92.67%</w:t>
      </w:r>
      <w:r>
        <w:t xml:space="preserve"> </w:t>
      </w:r>
      <w:r>
        <w:t xml:space="preserve">increase.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Tomato</w:t>
      </w:r>
      <w:r>
        <w:t xml:space="preserve"> </w:t>
      </w:r>
      <w:r>
        <w:t xml:space="preserve">showed the largest year-on-year deflationary trend with a</w:t>
      </w:r>
      <w:r>
        <w:t xml:space="preserve"> </w:t>
      </w:r>
      <w:r>
        <w:rPr>
          <w:b/>
          <w:bCs/>
        </w:rPr>
        <w:t xml:space="preserve">-42.93%</w:t>
      </w:r>
      <w:r>
        <w:t xml:space="preserve"> </w:t>
      </w:r>
      <w:r>
        <w:t xml:space="preserve">decrease.</w:t>
      </w:r>
    </w:p>
    <w:bookmarkEnd w:id="53"/>
    <w:bookmarkEnd w:id="54"/>
    <w:bookmarkEnd w:id="55"/>
    <w:bookmarkStart w:id="96" w:name="inflation-dispersion-analysis"/>
    <w:p>
      <w:pPr>
        <w:pStyle w:val="Heading1"/>
      </w:pPr>
      <w:r>
        <w:t xml:space="preserve">4. Inflation Dispersion Analysis</w:t>
      </w:r>
    </w:p>
    <w:p>
      <w:pPr>
        <w:pStyle w:val="FirstParagraph"/>
      </w:pPr>
      <w:r>
        <w:t xml:space="preserve">This section analyzes how inflation is distributed across different CPI components, showing whether price changes are broad-based or concentrated in specific items.</w:t>
      </w:r>
    </w:p>
    <w:bookmarkStart w:id="60" w:name="distribution-over-time-normalized"/>
    <w:p>
      <w:pPr>
        <w:pStyle w:val="Heading2"/>
      </w:pPr>
      <w:r>
        <w:t xml:space="preserve">4.1 Distribution Over Time (Normalized)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dispersion-normalized"/>
          <w:p>
            <w:pPr>
              <w:pStyle w:val="Compact"/>
              <w:jc w:val="center"/>
            </w:pPr>
            <w:r>
              <w:drawing>
                <wp:inline>
                  <wp:extent cx="5334000" cy="3035414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nflation_analysis_files/figure-docx/fig-dispersion-normalized-output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354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Inflation Dispersion - Percentage of CPI Components by Bracket</w:t>
            </w:r>
          </w:p>
          <w:bookmarkEnd w:id="59"/>
        </w:tc>
      </w:tr>
    </w:tbl>
    <w:bookmarkEnd w:id="60"/>
    <w:bookmarkStart w:id="65" w:name="recent-trends-last-3-years"/>
    <w:p>
      <w:pPr>
        <w:pStyle w:val="Heading2"/>
      </w:pPr>
      <w:r>
        <w:t xml:space="preserve">4.2 Recent Trends (Last 3 Years)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dispersion-normalized-3yr"/>
          <w:p>
            <w:pPr>
              <w:pStyle w:val="Compact"/>
              <w:jc w:val="center"/>
            </w:pPr>
            <w:r>
              <w:drawing>
                <wp:inline>
                  <wp:extent cx="5334000" cy="303086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flation_analysis_files/figure-docx/fig-dispersion-normalized-3yr-output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308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Inflation Dispersion - Last 3 Years (Normalized)</w:t>
            </w:r>
          </w:p>
          <w:bookmarkEnd w:id="64"/>
        </w:tc>
      </w:tr>
    </w:tbl>
    <w:bookmarkEnd w:id="65"/>
    <w:bookmarkStart w:id="70" w:name="distribution-over-time-absolute-counts"/>
    <w:p>
      <w:pPr>
        <w:pStyle w:val="Heading2"/>
      </w:pPr>
      <w:r>
        <w:t xml:space="preserve">4.3 Distribution Over Time (Absolute Counts)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dispersion-absolute"/>
          <w:p>
            <w:pPr>
              <w:pStyle w:val="Compact"/>
              <w:jc w:val="center"/>
            </w:pPr>
            <w:r>
              <w:drawing>
                <wp:inline>
                  <wp:extent cx="5334000" cy="3035414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nflation_analysis_files/figure-docx/fig-dispersion-absolute-output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354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Inflation Dispersion - Absolute Count of CPI Components by Bracket</w:t>
            </w:r>
          </w:p>
          <w:bookmarkEnd w:id="69"/>
        </w:tc>
      </w:tr>
    </w:tbl>
    <w:bookmarkEnd w:id="70"/>
    <w:bookmarkStart w:id="75" w:name="recent-trends-last-3-years---absolute"/>
    <w:p>
      <w:pPr>
        <w:pStyle w:val="Heading2"/>
      </w:pPr>
      <w:r>
        <w:t xml:space="preserve">4.4 Recent Trends (Last 3 Years - Absolute)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dispersion-absolute-3yr"/>
          <w:p>
            <w:pPr>
              <w:pStyle w:val="Compact"/>
              <w:jc w:val="center"/>
            </w:pPr>
            <w:r>
              <w:drawing>
                <wp:inline>
                  <wp:extent cx="5334000" cy="3044557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nflation_analysis_files/figure-docx/fig-dispersion-absolute-3yr-output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445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Inflation Dispersion - Last 3 Years (Absolute Counts)</w:t>
            </w:r>
          </w:p>
          <w:bookmarkEnd w:id="74"/>
        </w:tc>
      </w:tr>
    </w:tbl>
    <w:bookmarkEnd w:id="75"/>
    <w:bookmarkStart w:id="92" w:name="annualized-mom-threshold-analysis"/>
    <w:p>
      <w:pPr>
        <w:pStyle w:val="Heading2"/>
      </w:pPr>
      <w:r>
        <w:t xml:space="preserve">4.5 Annualized MoM Threshold Analysis</w:t>
      </w:r>
    </w:p>
    <w:bookmarkStart w:id="80" w:name="annualized-threshold-0.5-mom"/>
    <w:p>
      <w:pPr>
        <w:pStyle w:val="Heading3"/>
      </w:pPr>
      <w:r>
        <w:t xml:space="preserve">4.5.1 6% Annualized Threshold (0.5% MoM)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mom-threshold-6"/>
          <w:p>
            <w:pPr>
              <w:pStyle w:val="Compact"/>
              <w:jc w:val="center"/>
            </w:pPr>
            <w:r>
              <w:drawing>
                <wp:inline>
                  <wp:extent cx="5334000" cy="2474497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inflation_analysis_files/figure-docx/fig-mom-threshold-6-output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47449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Inflation Breadth: Share of Components Above/Below 6% Annualized Pace</w:t>
            </w:r>
          </w:p>
          <w:bookmarkEnd w:id="79"/>
        </w:tc>
      </w:tr>
    </w:tbl>
    <w:bookmarkEnd w:id="80"/>
    <w:bookmarkStart w:id="85" w:name="annualized-threshold-0.33-mom"/>
    <w:p>
      <w:pPr>
        <w:pStyle w:val="Heading3"/>
      </w:pPr>
      <w:r>
        <w:t xml:space="preserve">4.5.2 4% Annualized Threshold (0.33% MoM)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mom-threshold-4"/>
          <w:p>
            <w:pPr>
              <w:pStyle w:val="Compact"/>
              <w:jc w:val="center"/>
            </w:pPr>
            <w:r>
              <w:drawing>
                <wp:inline>
                  <wp:extent cx="5334000" cy="2474497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inflation_analysis_files/figure-docx/fig-mom-threshold-4-output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47449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Inflation Breadth: Share of Components Above/Below 4% Annualized Pace</w:t>
            </w:r>
          </w:p>
          <w:bookmarkEnd w:id="84"/>
        </w:tc>
      </w:tr>
    </w:tbl>
    <w:bookmarkEnd w:id="85"/>
    <w:bookmarkStart w:id="86" w:name="mom-threshold-insights"/>
    <w:p>
      <w:pPr>
        <w:pStyle w:val="Heading3"/>
      </w:pPr>
      <w:r>
        <w:t xml:space="preserve">4.5.3 MoM Threshold Insights</w:t>
      </w:r>
    </w:p>
    <w:bookmarkEnd w:id="86"/>
    <w:bookmarkStart w:id="91" w:name="current-month-october-2025-1"/>
    <w:p>
      <w:pPr>
        <w:pStyle w:val="Heading3"/>
      </w:pPr>
      <w:r>
        <w:t xml:space="preserve">4.5.4 Current Month (October 2025)</w:t>
      </w:r>
    </w:p>
    <w:bookmarkStart w:id="87" w:name="annualized-threshold"/>
    <w:p>
      <w:pPr>
        <w:pStyle w:val="Heading4"/>
      </w:pPr>
      <w:r>
        <w:t xml:space="preserve">4.5.4.1 6% Annualized Threshold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17.7%</w:t>
      </w:r>
      <w:r>
        <w:t xml:space="preserve"> </w:t>
      </w:r>
      <w:r>
        <w:t xml:space="preserve">(58 components) are currently inflating above the 6% annualized pace (&gt;0.5% MoM)</w:t>
      </w:r>
    </w:p>
    <w:p>
      <w:pPr>
        <w:numPr>
          <w:ilvl w:val="0"/>
          <w:numId w:val="1004"/>
        </w:numPr>
      </w:pPr>
      <w:r>
        <w:t xml:space="preserve">Inflation pressure is</w:t>
      </w:r>
      <w:r>
        <w:t xml:space="preserve"> </w:t>
      </w:r>
      <w:r>
        <w:rPr>
          <w:b/>
          <w:bCs/>
        </w:rPr>
        <w:t xml:space="preserve">concentrated in select items</w:t>
      </w:r>
      <w:r>
        <w:t xml:space="preserve">, suggesting</w:t>
      </w:r>
      <w:r>
        <w:t xml:space="preserve"> </w:t>
      </w:r>
      <w:r>
        <w:rPr>
          <w:b/>
          <w:bCs/>
        </w:rPr>
        <w:t xml:space="preserve">contained inflation</w:t>
      </w:r>
      <w:r>
        <w:t xml:space="preserve"> </w:t>
      </w:r>
      <w:r>
        <w:t xml:space="preserve">with most components cooling</w:t>
      </w:r>
    </w:p>
    <w:bookmarkEnd w:id="87"/>
    <w:bookmarkStart w:id="88" w:name="annualized-threshold-1"/>
    <w:p>
      <w:pPr>
        <w:pStyle w:val="Heading4"/>
      </w:pPr>
      <w:r>
        <w:t xml:space="preserve">4.5.4.2 4% Annualized Threshold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23.2%</w:t>
      </w:r>
      <w:r>
        <w:t xml:space="preserve"> </w:t>
      </w:r>
      <w:r>
        <w:t xml:space="preserve">(76 components) are inflating above the 4% annualized pace (&gt;0.33% MoM)</w:t>
      </w:r>
    </w:p>
    <w:p>
      <w:pPr>
        <w:numPr>
          <w:ilvl w:val="0"/>
          <w:numId w:val="1005"/>
        </w:numPr>
      </w:pPr>
      <w:r>
        <w:t xml:space="preserve">The majority of components are</w:t>
      </w:r>
      <w:r>
        <w:t xml:space="preserve"> </w:t>
      </w:r>
      <w:r>
        <w:rPr>
          <w:b/>
          <w:bCs/>
        </w:rPr>
        <w:t xml:space="preserve">below the 4% lower bound</w:t>
      </w:r>
      <w:r>
        <w:t xml:space="preserve">, potentially signaling room for</w:t>
      </w:r>
      <w:r>
        <w:t xml:space="preserve"> </w:t>
      </w:r>
      <w:r>
        <w:rPr>
          <w:b/>
          <w:bCs/>
        </w:rPr>
        <w:t xml:space="preserve">policy easing</w:t>
      </w:r>
    </w:p>
    <w:bookmarkEnd w:id="88"/>
    <w:bookmarkStart w:id="89" w:name="change-from-year-ago-october-2024"/>
    <w:p>
      <w:pPr>
        <w:pStyle w:val="Heading4"/>
      </w:pPr>
      <w:r>
        <w:t xml:space="preserve">4.5.4.3 Change from Year Ago (October 2024)</w:t>
      </w:r>
    </w:p>
    <w:p>
      <w:pPr>
        <w:numPr>
          <w:ilvl w:val="0"/>
          <w:numId w:val="1006"/>
        </w:numPr>
      </w:pPr>
      <w:r>
        <w:t xml:space="preserve">The share of components above 6% annualized pace has</w:t>
      </w:r>
      <w:r>
        <w:t xml:space="preserve"> </w:t>
      </w:r>
      <w:r>
        <w:rPr>
          <w:b/>
          <w:bCs/>
        </w:rPr>
        <w:t xml:space="preserve">decreased by 16.2 percentage points</w:t>
      </w:r>
    </w:p>
    <w:p>
      <w:pPr>
        <w:numPr>
          <w:ilvl w:val="0"/>
          <w:numId w:val="1006"/>
        </w:numPr>
      </w:pPr>
      <w:r>
        <w:t xml:space="preserve">The share of components above 4% annualized pace has</w:t>
      </w:r>
      <w:r>
        <w:t xml:space="preserve"> </w:t>
      </w:r>
      <w:r>
        <w:rPr>
          <w:b/>
          <w:bCs/>
        </w:rPr>
        <w:t xml:space="preserve">decreased by 22.0 percentage points</w:t>
      </w:r>
    </w:p>
    <w:bookmarkEnd w:id="89"/>
    <w:bookmarkStart w:id="90" w:name="month-trend"/>
    <w:p>
      <w:pPr>
        <w:pStyle w:val="Heading4"/>
      </w:pPr>
      <w:r>
        <w:t xml:space="preserve">4.5.4.4 12-Month Trend</w:t>
      </w:r>
    </w:p>
    <w:p>
      <w:pPr>
        <w:numPr>
          <w:ilvl w:val="0"/>
          <w:numId w:val="1007"/>
        </w:numPr>
      </w:pPr>
      <w:r>
        <w:t xml:space="preserve">Components above 6% threshold show</w:t>
      </w:r>
      <w:r>
        <w:t xml:space="preserve"> </w:t>
      </w:r>
      <w:r>
        <w:rPr>
          <w:b/>
          <w:bCs/>
        </w:rPr>
        <w:t xml:space="preserve">no clear trend</w:t>
      </w:r>
      <w:r>
        <w:t xml:space="preserve"> </w:t>
      </w:r>
      <w:r>
        <w:t xml:space="preserve">over the past year</w:t>
      </w:r>
    </w:p>
    <w:p>
      <w:pPr>
        <w:numPr>
          <w:ilvl w:val="0"/>
          <w:numId w:val="1007"/>
        </w:numPr>
      </w:pPr>
      <w:r>
        <w:t xml:space="preserve">Components above 4% threshold show</w:t>
      </w:r>
      <w:r>
        <w:t xml:space="preserve"> </w:t>
      </w:r>
      <w:r>
        <w:rPr>
          <w:b/>
          <w:bCs/>
        </w:rPr>
        <w:t xml:space="preserve">no clear trend</w:t>
      </w:r>
      <w:r>
        <w:t xml:space="preserve"> </w:t>
      </w:r>
      <w:r>
        <w:t xml:space="preserve">over the past year</w:t>
      </w:r>
    </w:p>
    <w:bookmarkEnd w:id="90"/>
    <w:bookmarkEnd w:id="91"/>
    <w:bookmarkEnd w:id="92"/>
    <w:bookmarkStart w:id="95" w:name="key-insights-1"/>
    <w:p>
      <w:pPr>
        <w:pStyle w:val="Heading2"/>
      </w:pPr>
      <w:r>
        <w:t xml:space="preserve">4.6 Key Insights</w:t>
      </w:r>
    </w:p>
    <w:bookmarkStart w:id="93" w:name="current-month-october-2025-2"/>
    <w:p>
      <w:pPr>
        <w:pStyle w:val="Heading3"/>
      </w:pPr>
      <w:r>
        <w:t xml:space="preserve">4.6.1 Current Month (October 2025)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11.3%</w:t>
      </w:r>
      <w:r>
        <w:t xml:space="preserve"> </w:t>
      </w:r>
      <w:r>
        <w:t xml:space="preserve">of CPI components are within the RBI target band (4-6%)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13.1%</w:t>
      </w:r>
      <w:r>
        <w:t xml:space="preserve"> </w:t>
      </w:r>
      <w:r>
        <w:t xml:space="preserve">of components are experiencing above-target inflation (&gt;6%)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75.5%</w:t>
      </w:r>
      <w:r>
        <w:t xml:space="preserve"> </w:t>
      </w:r>
      <w:r>
        <w:t xml:space="preserve">of components are below the 4% threshold</w:t>
      </w:r>
    </w:p>
    <w:p>
      <w:pPr>
        <w:numPr>
          <w:ilvl w:val="0"/>
          <w:numId w:val="1008"/>
        </w:numPr>
      </w:pPr>
      <w:r>
        <w:t xml:space="preserve">The dominant category is</w:t>
      </w:r>
      <w:r>
        <w:t xml:space="preserve"> </w:t>
      </w:r>
      <w:r>
        <w:rPr>
          <w:b/>
          <w:bCs/>
        </w:rPr>
        <w:t xml:space="preserve">Moderate (2-4%)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27.5%</w:t>
      </w:r>
      <w:r>
        <w:t xml:space="preserve"> </w:t>
      </w:r>
      <w:r>
        <w:t xml:space="preserve">of all components</w:t>
      </w:r>
    </w:p>
    <w:bookmarkEnd w:id="93"/>
    <w:bookmarkStart w:id="94" w:name="change-from-year-ago-october-2024-1"/>
    <w:p>
      <w:pPr>
        <w:pStyle w:val="Heading3"/>
      </w:pPr>
      <w:r>
        <w:t xml:space="preserve">4.6.2 Change from Year Ago (October 2024)</w:t>
      </w:r>
    </w:p>
    <w:p>
      <w:pPr>
        <w:pStyle w:val="Compact"/>
        <w:numPr>
          <w:ilvl w:val="0"/>
          <w:numId w:val="1009"/>
        </w:numPr>
      </w:pPr>
      <w:r>
        <w:t xml:space="preserve">Inflation distribution remains relatively</w:t>
      </w:r>
      <w:r>
        <w:t xml:space="preserve"> </w:t>
      </w:r>
      <w:r>
        <w:rPr>
          <w:b/>
          <w:bCs/>
        </w:rPr>
        <w:t xml:space="preserve">stable</w:t>
      </w:r>
    </w:p>
    <w:bookmarkEnd w:id="94"/>
    <w:bookmarkEnd w:id="95"/>
    <w:bookmarkEnd w:id="96"/>
    <w:bookmarkStart w:id="119" w:name="seasonality-analysis"/>
    <w:p>
      <w:pPr>
        <w:pStyle w:val="Heading1"/>
      </w:pPr>
      <w:r>
        <w:t xml:space="preserve">5. Seasonality Analysis</w:t>
      </w:r>
    </w:p>
    <w:bookmarkStart w:id="101" w:name="cpi-ex-vegetables"/>
    <w:p>
      <w:pPr>
        <w:pStyle w:val="Heading2"/>
      </w:pPr>
      <w:r>
        <w:t xml:space="preserve">5.1 CPI Ex Vegetables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seasonality-exveggies"/>
          <w:p>
            <w:pPr>
              <w:pStyle w:val="Compact"/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inflation_analysis_files/figure-docx/fig-seasonality-exveggies-output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CPI Excluding Vegetables - Seasonality Patterns (YoY and MoM)</w:t>
            </w:r>
          </w:p>
          <w:bookmarkEnd w:id="100"/>
        </w:tc>
      </w:tr>
    </w:tbl>
    <w:bookmarkEnd w:id="101"/>
    <w:bookmarkStart w:id="106" w:name="core-cpi-ex-food-beverages-fuel"/>
    <w:p>
      <w:pPr>
        <w:pStyle w:val="Heading2"/>
      </w:pPr>
      <w:r>
        <w:t xml:space="preserve">5.2 Core CPI (Ex Food, Beverages &amp; Fuel)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seasonality-core"/>
          <w:p>
            <w:pPr>
              <w:pStyle w:val="Compact"/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inflation_analysis_files/figure-docx/fig-seasonality-core-output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Core CPI (Excluding Food, Beverages &amp; Fuel &amp; Light) - Seasonality Patterns (YoY and MoM)</w:t>
            </w:r>
          </w:p>
          <w:bookmarkEnd w:id="105"/>
        </w:tc>
      </w:tr>
    </w:tbl>
    <w:bookmarkEnd w:id="106"/>
    <w:bookmarkStart w:id="111" w:name="personal-care-effects"/>
    <w:p>
      <w:pPr>
        <w:pStyle w:val="Heading2"/>
      </w:pPr>
      <w:r>
        <w:t xml:space="preserve">5.3 Personal Care &amp; Effects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seasonality-personal"/>
          <w:p>
            <w:pPr>
              <w:pStyle w:val="Compact"/>
              <w:jc w:val="center"/>
            </w:pPr>
            <w:r>
              <w:drawing>
                <wp:inline>
                  <wp:extent cx="5334000" cy="2669358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inflation_analysis_files/figure-docx/fig-seasonality-personal-output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93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CPI Miscellaneous (Personal Care &amp; Effects) - Seasonality Patterns (YoY and MoM)</w:t>
            </w:r>
          </w:p>
          <w:bookmarkEnd w:id="110"/>
        </w:tc>
      </w:tr>
    </w:tbl>
    <w:bookmarkEnd w:id="111"/>
    <w:bookmarkStart w:id="116" w:name="food-price-index"/>
    <w:p>
      <w:pPr>
        <w:pStyle w:val="Heading2"/>
      </w:pPr>
      <w:r>
        <w:t xml:space="preserve">5.4 Food Price Index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seasonality-food"/>
          <w:p>
            <w:pPr>
              <w:pStyle w:val="Compact"/>
              <w:jc w:val="center"/>
            </w:pPr>
            <w:r>
              <w:drawing>
                <wp:inline>
                  <wp:extent cx="5334000" cy="2669358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inflation_analysis_files/figure-docx/fig-seasonality-food-output-1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93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Consumer Food Price Index - Seasonality Patterns (YoY and MoM)</w:t>
            </w:r>
          </w:p>
          <w:bookmarkEnd w:id="115"/>
        </w:tc>
      </w:tr>
    </w:tbl>
    <w:bookmarkEnd w:id="116"/>
    <w:bookmarkStart w:id="117" w:name="cpi-excluding-gold"/>
    <w:p>
      <w:pPr>
        <w:pStyle w:val="Heading2"/>
      </w:pPr>
      <w:r>
        <w:t xml:space="preserve">5.5 CPI (Excluding Gold)</w:t>
      </w:r>
    </w:p>
    <w:p>
      <w:pPr>
        <w:pStyle w:val="FirstParagraph"/>
      </w:pPr>
      <w:r>
        <w:t xml:space="preserve">![Consumer Food Price Index (Excluding Gold)](inflation_analysis_files/figure-docx/fig-seasonality-cpi-(ex-gold-output-1.png){#fig-seasonality-cpi-(ex-gold}</w:t>
      </w:r>
    </w:p>
    <w:bookmarkEnd w:id="117"/>
    <w:bookmarkStart w:id="118" w:name="cpi-excluding-gold-and-silver"/>
    <w:p>
      <w:pPr>
        <w:pStyle w:val="Heading2"/>
      </w:pPr>
      <w:r>
        <w:t xml:space="preserve">5.6 CPI (Excluding Gold and Silver)</w:t>
      </w:r>
    </w:p>
    <w:p>
      <w:pPr>
        <w:pStyle w:val="FirstParagraph"/>
      </w:pPr>
      <w:r>
        <w:t xml:space="preserve">![Consumer Food Price Index (Excluding Gol and Silver)](inflation_analysis_files/figure-docx/fig-seasonality-cpi-(ex-gold-and-silver-output-1.png){#fig-seasonality-cpi-(ex-gold-and-silver}</w:t>
      </w:r>
    </w:p>
    <w:bookmarkEnd w:id="118"/>
    <w:bookmarkEnd w:id="119"/>
    <w:bookmarkStart w:id="135" w:name="inflation-trends-over-time"/>
    <w:p>
      <w:pPr>
        <w:pStyle w:val="Heading1"/>
      </w:pPr>
      <w:r>
        <w:t xml:space="preserve">6. Inflation Trends Over Time</w:t>
      </w:r>
    </w:p>
    <w:bookmarkStart w:id="124" w:name="recent-trends-last-7-years"/>
    <w:p>
      <w:pPr>
        <w:pStyle w:val="Heading2"/>
      </w:pPr>
      <w:r>
        <w:t xml:space="preserve">6.1 Recent Trends (Last 7 Years)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yoy-trends"/>
          <w:p>
            <w:pPr>
              <w:pStyle w:val="Compact"/>
              <w:jc w:val="center"/>
            </w:pPr>
            <w:r>
              <w:drawing>
                <wp:inline>
                  <wp:extent cx="5334000" cy="2652973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inflation_analysis_files/figure-docx/fig-yoy-trends-output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529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Year-on-Year Inflation Trends - CPI Categories Comparison</w:t>
            </w:r>
          </w:p>
          <w:bookmarkEnd w:id="123"/>
        </w:tc>
      </w:tr>
    </w:tbl>
    <w:bookmarkEnd w:id="124"/>
    <w:bookmarkStart w:id="129" w:name="month-on-month-trend"/>
    <w:p>
      <w:pPr>
        <w:pStyle w:val="Heading2"/>
      </w:pPr>
      <w:r>
        <w:t xml:space="preserve">6.2 Month on Month Trend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fig-mom-trends"/>
          <w:p>
            <w:pPr>
              <w:pStyle w:val="Compact"/>
              <w:jc w:val="center"/>
            </w:pPr>
            <w:r>
              <w:drawing>
                <wp:inline>
                  <wp:extent cx="5334000" cy="2647007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inflation_analysis_files/figure-docx/fig-mom-trends-output-1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470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Month-on-Month Inflation Trends - CPI Categories Comparison</w:t>
            </w:r>
          </w:p>
          <w:bookmarkEnd w:id="128"/>
        </w:tc>
      </w:tr>
    </w:tbl>
    <w:bookmarkEnd w:id="129"/>
    <w:bookmarkStart w:id="134" w:name="historical-overview"/>
    <w:p>
      <w:pPr>
        <w:pStyle w:val="Heading2"/>
      </w:pPr>
      <w:r>
        <w:t xml:space="preserve">6.3 Historical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fig-yoy-trends-full"/>
          <w:p>
            <w:pPr>
              <w:pStyle w:val="Compact"/>
              <w:jc w:val="center"/>
            </w:pPr>
            <w:r>
              <w:drawing>
                <wp:inline>
                  <wp:extent cx="5334000" cy="2647007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inflation_analysis_files/figure-docx/fig-yoy-trends-full-output-1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470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Year-on-Year Inflation Trends - Complete Historical Data</w:t>
            </w:r>
          </w:p>
          <w:bookmarkEnd w:id="133"/>
        </w:tc>
      </w:tr>
    </w:tbl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71" Target="media/rId71.png" /><Relationship Type="http://schemas.openxmlformats.org/officeDocument/2006/relationships/image" Id="rId66" Target="media/rId66.png" /><Relationship Type="http://schemas.openxmlformats.org/officeDocument/2006/relationships/image" Id="rId61" Target="media/rId61.png" /><Relationship Type="http://schemas.openxmlformats.org/officeDocument/2006/relationships/image" Id="rId56" Target="media/rId56.png" /><Relationship Type="http://schemas.openxmlformats.org/officeDocument/2006/relationships/image" Id="rId25" Target="media/rId25.png" /><Relationship Type="http://schemas.openxmlformats.org/officeDocument/2006/relationships/image" Id="rId81" Target="media/rId81.png" /><Relationship Type="http://schemas.openxmlformats.org/officeDocument/2006/relationships/image" Id="rId76" Target="media/rId76.png" /><Relationship Type="http://schemas.openxmlformats.org/officeDocument/2006/relationships/image" Id="rId125" Target="media/rId125.png" /><Relationship Type="http://schemas.openxmlformats.org/officeDocument/2006/relationships/image" Id="rId102" Target="media/rId102.png" /><Relationship Type="http://schemas.openxmlformats.org/officeDocument/2006/relationships/image" Id="rId97" Target="media/rId97.png" /><Relationship Type="http://schemas.openxmlformats.org/officeDocument/2006/relationships/image" Id="rId112" Target="media/rId112.png" /><Relationship Type="http://schemas.openxmlformats.org/officeDocument/2006/relationships/image" Id="rId107" Target="media/rId107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image" Id="rId20" Target="media/rId20.png" /><Relationship Type="http://schemas.openxmlformats.org/officeDocument/2006/relationships/image" Id="rId130" Target="media/rId130.png" /><Relationship Type="http://schemas.openxmlformats.org/officeDocument/2006/relationships/image" Id="rId120" Target="media/rId1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Inflation Analysis Report</dc:title>
  <dc:creator/>
  <cp:keywords/>
  <dcterms:created xsi:type="dcterms:W3CDTF">2026-01-12T07:39:08Z</dcterms:created>
  <dcterms:modified xsi:type="dcterms:W3CDTF">2026-01-12T07:39:08Z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2026-01-12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