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0.png" ContentType="image/png"/>
  <Override PartName="/word/media/rId49.png" ContentType="image/png"/>
  <Override PartName="/word/media/rId31.png" ContentType="image/png"/>
  <Override PartName="/word/media/rId21.png" ContentType="image/png"/>
  <Override PartName="/word/media/rId26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54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India CPI Inflation Chartbook</w:t>
      </w:r>
    </w:p>
    <w:p>
      <w:pPr>
        <w:pStyle w:val="Subtitle"/>
      </w:pPr>
      <w:r>
        <w:t xml:space="preserve">Fixed Income Macro Analysis</w:t>
      </w:r>
    </w:p>
    <w:p>
      <w:pPr>
        <w:pStyle w:val="Date"/>
      </w:pPr>
      <w:r>
        <w:t xml:space="preserve">2026-01-12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etup-and-preprocessing"/>
    <w:p>
      <w:pPr>
        <w:pStyle w:val="SourceCode"/>
      </w:pPr>
      <w:r>
        <w:rPr>
          <w:rStyle w:val="VerbatimChar"/>
        </w:rPr>
        <w:t xml:space="preserve">✓ Loaded 178 rows, 341 columns</w:t>
      </w:r>
      <w:r>
        <w:br/>
      </w:r>
      <w:r>
        <w:rPr>
          <w:rStyle w:val="VerbatimChar"/>
        </w:rPr>
        <w:t xml:space="preserve">✓ Sanitized HTML entities in column names and weight keys</w:t>
      </w:r>
      <w:r>
        <w:br/>
      </w:r>
      <w:r>
        <w:rPr>
          <w:rStyle w:val="VerbatimChar"/>
        </w:rPr>
        <w:t xml:space="preserve">✓ Preprocessing complete</w:t>
      </w:r>
      <w:r>
        <w:br/>
      </w:r>
      <w:r>
        <w:rPr>
          <w:rStyle w:val="VerbatimChar"/>
        </w:rPr>
        <w:t xml:space="preserve">✓ Weight coverage: 99.7%</w:t>
      </w:r>
      <w:r>
        <w:br/>
      </w:r>
      <w:r>
        <w:rPr>
          <w:rStyle w:val="VerbatimChar"/>
        </w:rPr>
        <w:t xml:space="preserve">✓ Leaf components: 298</w:t>
      </w:r>
      <w:r>
        <w:br/>
      </w:r>
      <w:r>
        <w:rPr>
          <w:rStyle w:val="VerbatimChar"/>
        </w:rPr>
        <w:t xml:space="preserve">✓ Data range: 2011-01 to 2025-10</w:t>
      </w:r>
    </w:p>
    <w:bookmarkEnd w:id="20"/>
    <w:bookmarkStart w:id="25" w:name="headline-vs-core-trend"/>
    <w:p>
      <w:pPr>
        <w:pStyle w:val="Heading1"/>
      </w:pPr>
      <w:r>
        <w:t xml:space="preserve">1. Headline vs Core Trend</w:t>
      </w:r>
    </w:p>
    <w:p>
      <w:pPr>
        <w:pStyle w:val="FirstParagraph"/>
      </w:pPr>
      <w:r>
        <w:t xml:space="preserve">Policy anchor: tracking headline and core inflation against RBI target band.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adline-core-trend"/>
          <w:p>
            <w:pPr>
              <w:pStyle w:val="Compact"/>
              <w:jc w:val="center"/>
            </w:pPr>
            <w:r>
              <w:drawing>
                <wp:inline>
                  <wp:extent cx="5334000" cy="265533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headline-core-trend-outpu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Headline and Core Inflation (YoY) - 7 Year Trend</w:t>
            </w:r>
          </w:p>
          <w:bookmarkEnd w:id="24"/>
        </w:tc>
      </w:tr>
    </w:tbl>
    <w:p>
      <w:pPr>
        <w:pStyle w:val="BodyText"/>
      </w:pPr>
      <w:r>
        <w:rPr>
          <w:i/>
          <w:iCs/>
        </w:rPr>
        <w:t xml:space="preserve">Note: Chart shows available measures. Core = {CORE_COL if CORE_COL else</w:t>
      </w:r>
      <w:r>
        <w:rPr>
          <w:i/>
          <w:iCs/>
        </w:rPr>
        <w:t xml:space="preserve"> </w:t>
      </w:r>
      <w:r>
        <w:rPr>
          <w:i/>
          <w:iCs/>
        </w:rPr>
        <w:t xml:space="preserve">‘N/A’</w:t>
      </w:r>
      <w:r>
        <w:rPr>
          <w:i/>
          <w:iCs/>
        </w:rPr>
        <w:t xml:space="preserve">}.</w:t>
      </w:r>
    </w:p>
    <w:bookmarkEnd w:id="25"/>
    <w:bookmarkStart w:id="30" w:name="momentum-turning-points"/>
    <w:p>
      <w:pPr>
        <w:pStyle w:val="Heading1"/>
      </w:pPr>
      <w:r>
        <w:t xml:space="preserve">2. Momentum &amp; Turning Points</w:t>
      </w:r>
    </w:p>
    <w:p>
      <w:pPr>
        <w:pStyle w:val="FirstParagraph"/>
      </w:pPr>
      <w:r>
        <w:t xml:space="preserve">Short-term momentum signals for rate traders: 3-month and 6-month SAAR.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momentum-saar"/>
          <w:p>
            <w:pPr>
              <w:pStyle w:val="Compact"/>
              <w:jc w:val="center"/>
            </w:pPr>
            <w:r>
              <w:drawing>
                <wp:inline>
                  <wp:extent cx="5334000" cy="444733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momentum-saar-output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4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Inflation Momentum: YoY and SAAR Measures</w:t>
            </w:r>
          </w:p>
          <w:bookmarkEnd w:id="29"/>
        </w:tc>
      </w:tr>
    </w:tbl>
    <w:p>
      <w:pPr>
        <w:pStyle w:val="BodyText"/>
      </w:pPr>
      <w:r>
        <w:rPr>
          <w:i/>
          <w:iCs/>
        </w:rPr>
        <w:t xml:space="preserve">SAAR formula: ((I_t / I_{t-w})^(12/w) - 1) × 100. Captures recent momentum better than YoY during turning points.</w:t>
      </w:r>
    </w:p>
    <w:bookmarkEnd w:id="30"/>
    <w:bookmarkStart w:id="39" w:name="inflation-drivers"/>
    <w:p>
      <w:pPr>
        <w:pStyle w:val="Heading1"/>
      </w:pPr>
      <w:r>
        <w:t xml:space="preserve">3. Inflation Drivers</w:t>
      </w:r>
    </w:p>
    <w:p>
      <w:pPr>
        <w:pStyle w:val="FirstParagraph"/>
      </w:pPr>
      <w:r>
        <w:t xml:space="preserve">TRUE contributions in percentage points (not stacked YoY rates). Shows which sectors drive headline inflation.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rivers-stacked"/>
          <w:p>
            <w:pPr>
              <w:pStyle w:val="Compact"/>
              <w:jc w:val="center"/>
            </w:pPr>
            <w:r>
              <w:drawing>
                <wp:inline>
                  <wp:extent cx="5334000" cy="265303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drivers-stacked-output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30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Inflation Drivers: Sectoral Contributions (pp) to Headline YoY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waterfall-latest"/>
          <w:p>
            <w:pPr>
              <w:pStyle w:val="Compact"/>
              <w:jc w:val="center"/>
            </w:pPr>
            <w:r>
              <w:drawing>
                <wp:inline>
                  <wp:extent cx="5334000" cy="318472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waterfall-latest-output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847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Latest Month: Change in Headline YoY Decomposition</w:t>
            </w:r>
          </w:p>
          <w:bookmarkEnd w:id="38"/>
        </w:tc>
      </w:tr>
    </w:tbl>
    <w:p>
      <w:pPr>
        <w:pStyle w:val="BodyText"/>
      </w:pPr>
      <w:r>
        <w:rPr>
          <w:i/>
          <w:iCs/>
        </w:rPr>
        <w:t xml:space="preserve">Contributions computed as (group_weight / 100) × group_YoY. Shows true pp impact on headline.</w:t>
      </w:r>
    </w:p>
    <w:bookmarkEnd w:id="39"/>
    <w:bookmarkStart w:id="48" w:name="inflation-breadth-diffusion"/>
    <w:p>
      <w:pPr>
        <w:pStyle w:val="Heading1"/>
      </w:pPr>
      <w:r>
        <w:t xml:space="preserve">4. Inflation Breadth &amp; Diffusion</w:t>
      </w:r>
    </w:p>
    <w:p>
      <w:pPr>
        <w:pStyle w:val="FirstParagraph"/>
      </w:pPr>
      <w:r>
        <w:t xml:space="preserve">Weighted diffusion using leaf components: measures broad-based vs concentrated inflation.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diffusion-stacked"/>
          <w:p>
            <w:pPr>
              <w:pStyle w:val="Compact"/>
              <w:jc w:val="center"/>
            </w:pPr>
            <w:r>
              <w:drawing>
                <wp:inline>
                  <wp:extent cx="5334000" cy="265900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diffusion-stacked-output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90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Inflation Breadth: Distribution of CPI Components</w:t>
            </w:r>
          </w:p>
          <w:bookmarkEnd w:id="4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iffusion-risk-gauge"/>
          <w:p>
            <w:pPr>
              <w:pStyle w:val="Compact"/>
              <w:jc w:val="center"/>
            </w:pPr>
            <w:r>
              <w:drawing>
                <wp:inline>
                  <wp:extent cx="5334000" cy="220733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diffusion-risk-gauge-output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7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Risk Gauge: Share of Basket Above 6% YoY</w:t>
            </w:r>
          </w:p>
          <w:bookmarkEnd w:id="47"/>
        </w:tc>
      </w:tr>
    </w:tbl>
    <w:p>
      <w:pPr>
        <w:pStyle w:val="BodyText"/>
      </w:pPr>
      <w:r>
        <w:rPr>
          <w:i/>
          <w:iCs/>
        </w:rPr>
        <w:t xml:space="preserve">Diffusion method: {</w:t>
      </w:r>
      <w:r>
        <w:rPr>
          <w:i/>
          <w:iCs/>
        </w:rPr>
        <w:t xml:space="preserve">‘Weighted by CPI weights’</w:t>
      </w:r>
      <w:r>
        <w:rPr>
          <w:i/>
          <w:iCs/>
        </w:rPr>
        <w:t xml:space="preserve"> </w:t>
      </w:r>
      <w:r>
        <w:rPr>
          <w:i/>
          <w:iCs/>
        </w:rPr>
        <w:t xml:space="preserve">if USE_WEIGHTED else</w:t>
      </w:r>
      <w:r>
        <w:rPr>
          <w:i/>
          <w:iCs/>
        </w:rPr>
        <w:t xml:space="preserve"> </w:t>
      </w:r>
      <w:r>
        <w:rPr>
          <w:i/>
          <w:iCs/>
        </w:rPr>
        <w:t xml:space="preserve">‘Unweighted (fallback due to &lt;70% weight coverage)’</w:t>
      </w:r>
      <w:r>
        <w:rPr>
          <w:i/>
          <w:iCs/>
        </w:rPr>
        <w:t xml:space="preserve">}. Weight coverage: {weight_coverage:.1f}%.</w:t>
      </w:r>
    </w:p>
    <w:bookmarkEnd w:id="48"/>
    <w:bookmarkStart w:id="53" w:name="distribution-snapshot"/>
    <w:p>
      <w:pPr>
        <w:pStyle w:val="Heading1"/>
      </w:pPr>
      <w:r>
        <w:t xml:space="preserve">5. Distribution Snapshot</w:t>
      </w:r>
    </w:p>
    <w:p>
      <w:pPr>
        <w:pStyle w:val="FirstParagraph"/>
      </w:pPr>
      <w:r>
        <w:t xml:space="preserve">Cross-sectional distribution of inflation across components (latest month).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istribution-snapshot"/>
          <w:p>
            <w:pPr>
              <w:pStyle w:val="Compact"/>
              <w:jc w:val="center"/>
            </w:pPr>
            <w:r>
              <w:drawing>
                <wp:inline>
                  <wp:extent cx="5334000" cy="265069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distribution-snapshot-output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0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Current Inflation Distribution Across CPI Components</w:t>
            </w:r>
          </w:p>
          <w:bookmarkEnd w:id="52"/>
        </w:tc>
      </w:tr>
    </w:tbl>
    <w:bookmarkEnd w:id="53"/>
    <w:bookmarkStart w:id="58" w:name="underlying-inflation"/>
    <w:p>
      <w:pPr>
        <w:pStyle w:val="Heading1"/>
      </w:pPr>
      <w:r>
        <w:t xml:space="preserve">6. Underlying Inflation</w:t>
      </w:r>
    </w:p>
    <w:p>
      <w:pPr>
        <w:pStyle w:val="FirstParagraph"/>
      </w:pPr>
      <w:r>
        <w:t xml:space="preserve">Weighted median and trimmed mean: robust measures less affected by outliers.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underlying"/>
          <w:p>
            <w:pPr>
              <w:pStyle w:val="Compact"/>
              <w:jc w:val="center"/>
            </w:pPr>
            <w:r>
              <w:drawing>
                <wp:inline>
                  <wp:extent cx="5334000" cy="265533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underlying-output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55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Underlying Inflation Measures</w:t>
            </w:r>
          </w:p>
          <w:bookmarkEnd w:id="57"/>
        </w:tc>
      </w:tr>
    </w:tbl>
    <w:p>
      <w:pPr>
        <w:pStyle w:val="BodyText"/>
      </w:pPr>
      <w:r>
        <w:rPr>
          <w:i/>
          <w:iCs/>
        </w:rPr>
        <w:t xml:space="preserve">Trimmed mean excludes top/bottom 15% by weight. More stable than headline during supply shocks.</w:t>
      </w:r>
    </w:p>
    <w:bookmarkEnd w:id="58"/>
    <w:bookmarkStart w:id="63" w:name="seasonality-patterns"/>
    <w:p>
      <w:pPr>
        <w:pStyle w:val="Heading1"/>
      </w:pPr>
      <w:r>
        <w:t xml:space="preserve">7. Seasonality Patterns</w:t>
      </w:r>
    </w:p>
    <w:p>
      <w:pPr>
        <w:pStyle w:val="FirstParagraph"/>
      </w:pPr>
      <w:r>
        <w:t xml:space="preserve">MoM inflation heatmaps reveal seasonal patterns in key categories.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seasonality-heatmaps"/>
          <w:p>
            <w:pPr>
              <w:pStyle w:val="Compact"/>
              <w:jc w:val="center"/>
            </w:pPr>
            <w:r>
              <w:drawing>
                <wp:inline>
                  <wp:extent cx="5334000" cy="339339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seasonality-heatmaps-outpu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93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Seasonality Heatmap: MoM Inflation Patterns</w:t>
            </w:r>
          </w:p>
          <w:bookmarkEnd w:id="62"/>
        </w:tc>
      </w:tr>
    </w:tbl>
    <w:p>
      <w:pPr>
        <w:pStyle w:val="BodyText"/>
      </w:pPr>
      <w:r>
        <w:rPr>
          <w:i/>
          <w:iCs/>
        </w:rPr>
        <w:t xml:space="preserve">Color intensity shows MoM % change. Patterns reveal recurring seasonal effects (e.g., harvest cycles, festival demand).</w:t>
      </w:r>
    </w:p>
    <w:bookmarkEnd w:id="63"/>
    <w:bookmarkStart w:id="68" w:name="shock-trackers"/>
    <w:p>
      <w:pPr>
        <w:pStyle w:val="Heading1"/>
      </w:pPr>
      <w:r>
        <w:t xml:space="preserve">8. Shock Trackers</w:t>
      </w:r>
    </w:p>
    <w:p>
      <w:pPr>
        <w:pStyle w:val="FirstParagraph"/>
      </w:pPr>
      <w:r>
        <w:t xml:space="preserve">Volatile components and stress indicators for fixed-income positioning.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shock-trackers"/>
          <w:p>
            <w:pPr>
              <w:pStyle w:val="Compact"/>
              <w:jc w:val="center"/>
            </w:pPr>
            <w:r>
              <w:drawing>
                <wp:inline>
                  <wp:extent cx="5334000" cy="3807716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shock-trackers-outpu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7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Volatility &amp; Shock Indicators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Shock trackers highlight volatile components driving near-term inflation surprises.</w:t>
      </w:r>
    </w:p>
    <w:bookmarkEnd w:id="68"/>
    <w:bookmarkStart w:id="73" w:name="top-movers"/>
    <w:p>
      <w:pPr>
        <w:pStyle w:val="Heading1"/>
      </w:pPr>
      <w:r>
        <w:t xml:space="preserve">9. Top Movers</w:t>
      </w:r>
    </w:p>
    <w:p>
      <w:pPr>
        <w:pStyle w:val="FirstParagraph"/>
      </w:pPr>
      <w:r>
        <w:t xml:space="preserve">Components with largest contribution to recent inflation changes (leaf-level only).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top-movers"/>
          <w:p>
            <w:pPr>
              <w:pStyle w:val="Compact"/>
              <w:jc w:val="center"/>
            </w:pPr>
            <w:r>
              <w:drawing>
                <wp:inline>
                  <wp:extent cx="5334000" cy="380202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nflation_chartbook_files/figure-docx/fig-top-movers-output-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2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Top Contributors to Recent Inflation</w:t>
            </w:r>
          </w:p>
          <w:bookmarkEnd w:id="72"/>
        </w:tc>
      </w:tr>
    </w:tbl>
    <w:p>
      <w:pPr>
        <w:pStyle w:val="BodyText"/>
      </w:pPr>
      <w:r>
        <w:rPr>
          <w:i/>
          <w:iCs/>
        </w:rPr>
        <w:t xml:space="preserve">Contribution-aware analysis: identifies which components materially moved headline inflation.</w:t>
      </w:r>
    </w:p>
    <w:bookmarkEnd w:id="73"/>
    <w:bookmarkStart w:id="79" w:name="appendix-methodology-data-diagnostics"/>
    <w:p>
      <w:pPr>
        <w:pStyle w:val="Heading1"/>
      </w:pPr>
      <w:r>
        <w:t xml:space="preserve">Appendix: Methodology &amp; Data Diagnostics</w:t>
      </w:r>
    </w:p>
    <w:bookmarkStart w:id="74" w:name="key-definitions"/>
    <w:p>
      <w:pPr>
        <w:pStyle w:val="Heading2"/>
      </w:pPr>
      <w:r>
        <w:t xml:space="preserve">Key Definitions</w:t>
      </w:r>
    </w:p>
    <w:p>
      <w:pPr>
        <w:pStyle w:val="FirstParagraph"/>
      </w:pPr>
      <w:r>
        <w:rPr>
          <w:b/>
          <w:bCs/>
        </w:rPr>
        <w:t xml:space="preserve">YoY (Year-over-Year):</w:t>
      </w:r>
      <w:r>
        <w:t xml:space="preserve"> </w:t>
      </w:r>
      <w:r>
        <w:t xml:space="preserve">12-month percentage change in index level:</w:t>
      </w:r>
      <w:r>
        <w:t xml:space="preserve"> </w:t>
      </w:r>
      <m:oMath>
        <m:sSub>
          <m:e>
            <m:r>
              <m:rPr>
                <m:nor/>
                <m:sty m:val="p"/>
              </m:rPr>
              <m:t>YoY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</m:sub>
            </m:sSub>
          </m:den>
        </m:f>
        <m:r>
          <m:rPr>
            <m:sty m:val="p"/>
          </m:rPr>
          <m:t>×</m:t>
        </m:r>
        <m:r>
          <m:t>100</m:t>
        </m:r>
      </m:oMath>
    </w:p>
    <w:p>
      <w:pPr>
        <w:pStyle w:val="BodyText"/>
      </w:pPr>
      <w:r>
        <w:rPr>
          <w:b/>
          <w:bCs/>
        </w:rPr>
        <w:t xml:space="preserve">MoM (Month-over-Month):</w:t>
      </w:r>
      <w:r>
        <w:t xml:space="preserve"> </w:t>
      </w:r>
      <w:r>
        <w:t xml:space="preserve">1-month percentage change: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MoM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num>
          <m:den>
            <m:sSub>
              <m:e>
                <m:r>
                  <m:t>I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×</m:t>
        </m:r>
        <m:r>
          <m:t>100</m:t>
        </m:r>
      </m:oMath>
    </w:p>
    <w:p>
      <w:pPr>
        <w:pStyle w:val="BodyText"/>
      </w:pPr>
      <w:r>
        <w:rPr>
          <w:b/>
          <w:bCs/>
        </w:rPr>
        <w:t xml:space="preserve">SAAR (Seasonally Adjusted Annual Rate):</w:t>
      </w:r>
      <w:r>
        <w:t xml:space="preserve"> </w:t>
      </w:r>
      <w:r>
        <w:t xml:space="preserve">Annualized growth rate over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months:</w:t>
      </w:r>
      <w:r>
        <w:t xml:space="preserve"> </w:t>
      </w:r>
      <m:oMath>
        <m:sSub>
          <m:e>
            <m:r>
              <m:rPr>
                <m:nor/>
                <m:sty m:val="p"/>
              </m:rPr>
              <m:t>SAAR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w</m:t>
                            </m:r>
                          </m:sub>
                        </m:sSub>
                      </m:den>
                    </m:f>
                  </m:e>
                </m:d>
              </m:e>
              <m:sup>
                <m:r>
                  <m:t>12</m:t>
                </m:r>
                <m:r>
                  <m:rPr>
                    <m:sty m:val="p"/>
                  </m:rPr>
                  <m:t>/</m:t>
                </m:r>
                <m:r>
                  <m:t>w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×</m:t>
        </m:r>
        <m:r>
          <m:t>100</m:t>
        </m:r>
      </m:oMath>
    </w:p>
    <w:p>
      <w:pPr>
        <w:pStyle w:val="BodyText"/>
      </w:pPr>
      <w:r>
        <w:rPr>
          <w:b/>
          <w:bCs/>
        </w:rPr>
        <w:t xml:space="preserve">TRUE Contribution (pp):</w:t>
      </w:r>
      <w:r>
        <w:t xml:space="preserve"> </w:t>
      </w:r>
      <w:r>
        <w:t xml:space="preserve">Exact percentage point impact:</w:t>
      </w:r>
      <w:r>
        <w:t xml:space="preserve"> </w:t>
      </w:r>
      <m:oMath>
        <m:sSub>
          <m:e>
            <m:r>
              <m:rPr>
                <m:nor/>
                <m:sty m:val="p"/>
              </m:rPr>
              <m:t>Contrib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num>
          <m:den>
            <m:r>
              <m:t>100</m:t>
            </m:r>
          </m:den>
        </m:f>
        <m:r>
          <m:rPr>
            <m:sty m:val="p"/>
          </m:rPr>
          <m:t>×</m:t>
        </m:r>
        <m:sSub>
          <m:e>
            <m:r>
              <m:rPr>
                <m:nor/>
                <m:sty m:val="p"/>
              </m:rPr>
              <m:t>YoY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CPI weight.</w:t>
      </w:r>
    </w:p>
    <w:p>
      <w:pPr>
        <w:pStyle w:val="BodyText"/>
      </w:pPr>
      <w:r>
        <w:rPr>
          <w:b/>
          <w:bCs/>
        </w:rPr>
        <w:t xml:space="preserve">Weighted Median:</w:t>
      </w:r>
      <w:r>
        <w:t xml:space="preserve"> </w:t>
      </w:r>
      <w:r>
        <w:t xml:space="preserve">Middle value after sorting components by YoY with cumulative weight reaching 50%.</w:t>
      </w:r>
    </w:p>
    <w:p>
      <w:pPr>
        <w:pStyle w:val="BodyText"/>
      </w:pPr>
      <w:r>
        <w:rPr>
          <w:b/>
          <w:bCs/>
        </w:rPr>
        <w:t xml:space="preserve">Trimmed Mean:</w:t>
      </w:r>
      <w:r>
        <w:t xml:space="preserve"> </w:t>
      </w:r>
      <w:r>
        <w:t xml:space="preserve">Weighted average excluding top/bottom 15% of components by weight.</w:t>
      </w:r>
    </w:p>
    <w:p>
      <w:pPr>
        <w:pStyle w:val="BodyText"/>
      </w:pPr>
      <w:r>
        <w:rPr>
          <w:b/>
          <w:bCs/>
        </w:rPr>
        <w:t xml:space="preserve">Diffusion:</w:t>
      </w:r>
      <w:r>
        <w:t xml:space="preserve"> </w:t>
      </w:r>
      <w:r>
        <w:t xml:space="preserve">Share of CPI weight (or count) with YoY in specified range (e.g., &gt;6%, 4-6%, &lt;4%).</w:t>
      </w:r>
    </w:p>
    <w:bookmarkEnd w:id="74"/>
    <w:bookmarkStart w:id="76" w:name="data-processing-notes"/>
    <w:p>
      <w:pPr>
        <w:pStyle w:val="Heading2"/>
      </w:pPr>
      <w:r>
        <w:t xml:space="preserve">Data Processing Notes</w:t>
      </w:r>
    </w:p>
    <w:bookmarkStart w:id="75" w:name="appendix-diagnostics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 DIAGNOSTICS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RESOLVED COLUMN NAMES:"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Headline: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HEADLINE_COL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CORE_COL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CORE_COL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Ex-Vegetables: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EXVEG_COL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EXVEG_COL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Ex-Gold: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EXGOLD_COL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EXGOLD_COL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Food &amp; Beverages: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(MAJOR_GROUPS.keys())[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(MAJOR_GROUPS)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WEIGHT COVERAGE:"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Total leaf components: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(leaf_cols)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Total weight covered: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weight_coverage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Weighted analysis enabled: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USE_WEIGHTED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(threshold: 70%)"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TIME COVERAGE:"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Full dataset: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7-year window: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df_7y[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df_7y[</w:t>
      </w:r>
      <w:r>
        <w:rPr>
          <w:rStyle w:val="StringTok"/>
        </w:rPr>
        <w:t xml:space="preserve">'time'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Total months (full):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Total months (7y):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(df_7y)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4. INTERPOLATION POLICY:"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Method: Linear interpolation for gaps ≤3 months"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Imputed months: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(DIAGNOSTICS.get(</w:t>
      </w:r>
      <w:r>
        <w:rPr>
          <w:rStyle w:val="StringTok"/>
        </w:rPr>
        <w:t xml:space="preserve">'imputed_months'</w:t>
      </w:r>
      <w:r>
        <w:rPr>
          <w:rStyle w:val="NormalTok"/>
        </w:rPr>
        <w:t xml:space="preserve">, []))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'imputed_months'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DIAGNOSTICS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tracked'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5. MAJOR GROUPS (weights):"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MAJOR_GROUPS.items():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group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info[</w:t>
      </w:r>
      <w:r>
        <w:rPr>
          <w:rStyle w:val="StringTok"/>
        </w:rPr>
        <w:t xml:space="preserve">'weight'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6. AGGREGATE SERIES EXCLUDED:"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(AGGREGATE_SERIES)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Examples: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(AGGREGATE_SERIES)[: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7. MISSING DATA HANDLING:"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missing_components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leaf_cols:</w:t>
      </w:r>
      <w:r>
        <w:br/>
      </w:r>
      <w:r>
        <w:rPr>
          <w:rStyle w:val="NormalTok"/>
        </w:rPr>
        <w:t xml:space="preserve">    yoy_col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_YoY'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yoy_col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df.columns:</w:t>
      </w:r>
      <w:r>
        <w:br/>
      </w:r>
      <w:r>
        <w:rPr>
          <w:rStyle w:val="NormalTok"/>
        </w:rPr>
        <w:t xml:space="preserve">        missing_pct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df[yoy_col].isna().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missing_pct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missing_components.append((col, missing_pct))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missing_components: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Components with &gt;10% missing YoY data:"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comp, pct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(missing_components,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pct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missing"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 components with &gt;10% missing data"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======================================================================</w:t>
      </w:r>
      <w:r>
        <w:br/>
      </w:r>
      <w:r>
        <w:rPr>
          <w:rStyle w:val="VerbatimChar"/>
        </w:rPr>
        <w:t xml:space="preserve">DATA DIAGNOSTICS SUMMARY</w:t>
      </w:r>
      <w:r>
        <w:br/>
      </w:r>
      <w:r>
        <w:rPr>
          <w:rStyle w:val="VerbatimChar"/>
        </w:rPr>
        <w:t xml:space="preserve">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1. RESOLVED COLUMN NAMES:</w:t>
      </w:r>
      <w:r>
        <w:br/>
      </w:r>
      <w:r>
        <w:rPr>
          <w:rStyle w:val="VerbatimChar"/>
        </w:rPr>
        <w:t xml:space="preserve">   Headline: Consumer Price Index</w:t>
      </w:r>
      <w:r>
        <w:br/>
      </w:r>
      <w:r>
        <w:rPr>
          <w:rStyle w:val="VerbatimChar"/>
        </w:rPr>
        <w:t xml:space="preserve">   Core: Core Index</w:t>
      </w:r>
      <w:r>
        <w:br/>
      </w:r>
      <w:r>
        <w:rPr>
          <w:rStyle w:val="VerbatimChar"/>
        </w:rPr>
        <w:t xml:space="preserve">   Ex-Vegetables: CPI (ExVeggies)</w:t>
      </w:r>
      <w:r>
        <w:br/>
      </w:r>
      <w:r>
        <w:rPr>
          <w:rStyle w:val="VerbatimChar"/>
        </w:rPr>
        <w:t xml:space="preserve">   Ex-Gold: NOT FOUND</w:t>
      </w:r>
      <w:r>
        <w:br/>
      </w:r>
      <w:r>
        <w:rPr>
          <w:rStyle w:val="VerbatimChar"/>
        </w:rPr>
        <w:t xml:space="preserve">   Food &amp; Beverages: Food &amp; Beverages</w:t>
      </w:r>
      <w:r>
        <w:br/>
      </w:r>
      <w:r>
        <w:br/>
      </w:r>
      <w:r>
        <w:rPr>
          <w:rStyle w:val="VerbatimChar"/>
        </w:rPr>
        <w:t xml:space="preserve">2. WEIGHT COVERAGE:</w:t>
      </w:r>
      <w:r>
        <w:br/>
      </w:r>
      <w:r>
        <w:rPr>
          <w:rStyle w:val="VerbatimChar"/>
        </w:rPr>
        <w:t xml:space="preserve">   Total leaf components: 298</w:t>
      </w:r>
      <w:r>
        <w:br/>
      </w:r>
      <w:r>
        <w:rPr>
          <w:rStyle w:val="VerbatimChar"/>
        </w:rPr>
        <w:t xml:space="preserve">   Total weight covered: 99.67%</w:t>
      </w:r>
      <w:r>
        <w:br/>
      </w:r>
      <w:r>
        <w:rPr>
          <w:rStyle w:val="VerbatimChar"/>
        </w:rPr>
        <w:t xml:space="preserve">   Weighted analysis enabled: True (threshold: 70%)</w:t>
      </w:r>
      <w:r>
        <w:br/>
      </w:r>
      <w:r>
        <w:br/>
      </w:r>
      <w:r>
        <w:rPr>
          <w:rStyle w:val="VerbatimChar"/>
        </w:rPr>
        <w:t xml:space="preserve">3. TIME COVERAGE:</w:t>
      </w:r>
      <w:r>
        <w:br/>
      </w:r>
      <w:r>
        <w:rPr>
          <w:rStyle w:val="VerbatimChar"/>
        </w:rPr>
        <w:t xml:space="preserve">   Full dataset: 2011-01-01 to 2025-10-01</w:t>
      </w:r>
      <w:r>
        <w:br/>
      </w:r>
      <w:r>
        <w:rPr>
          <w:rStyle w:val="VerbatimChar"/>
        </w:rPr>
        <w:t xml:space="preserve">   7-year window: 2019-01-01 to 2025-10-01</w:t>
      </w:r>
      <w:r>
        <w:br/>
      </w:r>
      <w:r>
        <w:rPr>
          <w:rStyle w:val="VerbatimChar"/>
        </w:rPr>
        <w:t xml:space="preserve">   Total months (full): 178</w:t>
      </w:r>
      <w:r>
        <w:br/>
      </w:r>
      <w:r>
        <w:rPr>
          <w:rStyle w:val="VerbatimChar"/>
        </w:rPr>
        <w:t xml:space="preserve">   Total months (7y): 82</w:t>
      </w:r>
      <w:r>
        <w:br/>
      </w:r>
      <w:r>
        <w:br/>
      </w:r>
      <w:r>
        <w:rPr>
          <w:rStyle w:val="VerbatimChar"/>
        </w:rPr>
        <w:t xml:space="preserve">4. INTERPOLATION POLICY:</w:t>
      </w:r>
      <w:r>
        <w:br/>
      </w:r>
      <w:r>
        <w:rPr>
          <w:rStyle w:val="VerbatimChar"/>
        </w:rPr>
        <w:t xml:space="preserve">   Method: Linear interpolation for gaps ≤3 months</w:t>
      </w:r>
      <w:r>
        <w:br/>
      </w:r>
      <w:r>
        <w:rPr>
          <w:rStyle w:val="VerbatimChar"/>
        </w:rPr>
        <w:t xml:space="preserve">   Imputed months: Not tracked</w:t>
      </w:r>
      <w:r>
        <w:br/>
      </w:r>
      <w:r>
        <w:br/>
      </w:r>
      <w:r>
        <w:rPr>
          <w:rStyle w:val="VerbatimChar"/>
        </w:rPr>
        <w:t xml:space="preserve">5. MAJOR GROUPS (weights):</w:t>
      </w:r>
      <w:r>
        <w:br/>
      </w:r>
      <w:r>
        <w:rPr>
          <w:rStyle w:val="VerbatimChar"/>
        </w:rPr>
        <w:t xml:space="preserve">   Food &amp; Beverages: 45.86%</w:t>
      </w:r>
      <w:r>
        <w:br/>
      </w:r>
      <w:r>
        <w:rPr>
          <w:rStyle w:val="VerbatimChar"/>
        </w:rPr>
        <w:t xml:space="preserve">   Pan, Tobacco &amp; Intox: 2.38%</w:t>
      </w:r>
      <w:r>
        <w:br/>
      </w:r>
      <w:r>
        <w:rPr>
          <w:rStyle w:val="VerbatimChar"/>
        </w:rPr>
        <w:t xml:space="preserve">   Clothing &amp; Footwear: 6.53%</w:t>
      </w:r>
      <w:r>
        <w:br/>
      </w:r>
      <w:r>
        <w:rPr>
          <w:rStyle w:val="VerbatimChar"/>
        </w:rPr>
        <w:t xml:space="preserve">   Housing: 10.07%</w:t>
      </w:r>
      <w:r>
        <w:br/>
      </w:r>
      <w:r>
        <w:rPr>
          <w:rStyle w:val="VerbatimChar"/>
        </w:rPr>
        <w:t xml:space="preserve">   Fuel &amp; Light: 6.84%</w:t>
      </w:r>
      <w:r>
        <w:br/>
      </w:r>
      <w:r>
        <w:rPr>
          <w:rStyle w:val="VerbatimChar"/>
        </w:rPr>
        <w:t xml:space="preserve">   Miscellaneous: 28.32%</w:t>
      </w:r>
      <w:r>
        <w:br/>
      </w:r>
      <w:r>
        <w:br/>
      </w:r>
      <w:r>
        <w:rPr>
          <w:rStyle w:val="VerbatimChar"/>
        </w:rPr>
        <w:t xml:space="preserve">6. AGGREGATE SERIES EXCLUDED:</w:t>
      </w:r>
      <w:r>
        <w:br/>
      </w:r>
      <w:r>
        <w:rPr>
          <w:rStyle w:val="VerbatimChar"/>
        </w:rPr>
        <w:t xml:space="preserve">   Count: 21</w:t>
      </w:r>
      <w:r>
        <w:br/>
      </w:r>
      <w:r>
        <w:rPr>
          <w:rStyle w:val="VerbatimChar"/>
        </w:rPr>
        <w:t xml:space="preserve">   Examples: ['Exclusion Index', 'Consumer Price Index: Pan, Tobacco and Intoxicants', 'CPI (ExVeggies)', 'Consumer Price Index: Food and Beverages', 'Protein Index']</w:t>
      </w:r>
      <w:r>
        <w:br/>
      </w:r>
      <w:r>
        <w:br/>
      </w:r>
      <w:r>
        <w:rPr>
          <w:rStyle w:val="VerbatimChar"/>
        </w:rPr>
        <w:t xml:space="preserve">7. MISSING DATA HANDLING:</w:t>
      </w:r>
      <w:r>
        <w:br/>
      </w:r>
      <w:r>
        <w:rPr>
          <w:rStyle w:val="VerbatimChar"/>
        </w:rPr>
        <w:t xml:space="preserve">   Components with &gt;10% missing YoY data:</w:t>
      </w:r>
      <w:r>
        <w:br/>
      </w:r>
      <w:r>
        <w:rPr>
          <w:rStyle w:val="VerbatimChar"/>
        </w:rPr>
        <w:t xml:space="preserve">      Consumer Price Index: Food and Beverages: Leechi: 29.2% missing</w:t>
      </w:r>
      <w:r>
        <w:br/>
      </w:r>
      <w:r>
        <w:rPr>
          <w:rStyle w:val="VerbatimChar"/>
        </w:rPr>
        <w:t xml:space="preserve">      Consumer Price Index: Food and Beverages: Rice by Public Distribution System: 27.0% missing</w:t>
      </w:r>
      <w:r>
        <w:br/>
      </w:r>
      <w:r>
        <w:rPr>
          <w:rStyle w:val="VerbatimChar"/>
        </w:rPr>
        <w:t xml:space="preserve">      Consumer Price Index: Food and Beverages: Rice by Other Sources: 27.0% missing</w:t>
      </w:r>
      <w:r>
        <w:br/>
      </w:r>
      <w:r>
        <w:rPr>
          <w:rStyle w:val="VerbatimChar"/>
        </w:rPr>
        <w:t xml:space="preserve">      Consumer Price Index: Food and Beverages: Chira: 27.0% missing</w:t>
      </w:r>
      <w:r>
        <w:br/>
      </w:r>
      <w:r>
        <w:rPr>
          <w:rStyle w:val="VerbatimChar"/>
        </w:rPr>
        <w:t xml:space="preserve">      Consumer Price Index: Food and Beverages: Muri: 27.0% missing</w:t>
      </w:r>
      <w:r>
        <w:br/>
      </w:r>
      <w:r>
        <w:rPr>
          <w:rStyle w:val="VerbatimChar"/>
        </w:rPr>
        <w:t xml:space="preserve">      Consumer Price Index: Food and Beverages: Other Rice Products: 27.0% missing</w:t>
      </w:r>
      <w:r>
        <w:br/>
      </w:r>
      <w:r>
        <w:rPr>
          <w:rStyle w:val="VerbatimChar"/>
        </w:rPr>
        <w:t xml:space="preserve">      Consumer Price Index: Food and Beverages: Wheat or Atta by Public Distribution System: 27.0% missing</w:t>
      </w:r>
      <w:r>
        <w:br/>
      </w:r>
      <w:r>
        <w:rPr>
          <w:rStyle w:val="VerbatimChar"/>
        </w:rPr>
        <w:t xml:space="preserve">      Consumer Price Index: Food and Beverages: Wheat or Atta by Other Sources: 27.0% missing</w:t>
      </w:r>
      <w:r>
        <w:br/>
      </w:r>
      <w:r>
        <w:rPr>
          <w:rStyle w:val="VerbatimChar"/>
        </w:rPr>
        <w:t xml:space="preserve">      Consumer Price Index: Food and Beverages: Maida: 27.0% missing</w:t>
      </w:r>
      <w:r>
        <w:br/>
      </w:r>
      <w:r>
        <w:rPr>
          <w:rStyle w:val="VerbatimChar"/>
        </w:rPr>
        <w:t xml:space="preserve">      Consumer Price Index: Food and Beverages: Suji, Rawa: 27.0% missing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======================================================================</w:t>
      </w:r>
    </w:p>
    <w:bookmarkEnd w:id="75"/>
    <w:bookmarkEnd w:id="76"/>
    <w:bookmarkStart w:id="77" w:name="limitations-caveats"/>
    <w:p>
      <w:pPr>
        <w:pStyle w:val="Heading2"/>
      </w:pPr>
      <w:r>
        <w:t xml:space="preserve">Limitations &amp; Caveats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Index Construction:</w:t>
      </w:r>
      <w:r>
        <w:t xml:space="preserve"> </w:t>
      </w:r>
      <w:r>
        <w:t xml:space="preserve">CPI indices provided as-is; no rebasing or chaining performed.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 Accuracy:</w:t>
      </w:r>
      <w:r>
        <w:t xml:space="preserve"> </w:t>
      </w:r>
      <w:r>
        <w:t xml:space="preserve">Weights from detailed_weights.json; may not sum exactly to 100 due to rounding.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Seasonal Adjustment:</w:t>
      </w:r>
      <w:r>
        <w:t xml:space="preserve"> </w:t>
      </w:r>
      <w:r>
        <w:t xml:space="preserve">Raw data used; no seasonal adjustment applied.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 Classification:</w:t>
      </w:r>
      <w:r>
        <w:t xml:space="preserve"> </w:t>
      </w:r>
      <w:r>
        <w:t xml:space="preserve">Leaf vs aggregate status inferred from AGGREGATE_SERIES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Data:</w:t>
      </w:r>
      <w:r>
        <w:t xml:space="preserve"> </w:t>
      </w:r>
      <w:r>
        <w:t xml:space="preserve">Linear interpolation used for gaps ≤3 months; longer gaps left as NaN.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Weighted Analysis:</w:t>
      </w:r>
      <w:r>
        <w:t xml:space="preserve"> </w:t>
      </w:r>
      <w:r>
        <w:t xml:space="preserve">Falls back to unweighted if weight coverage &lt;70%.</w:t>
      </w:r>
    </w:p>
    <w:bookmarkEnd w:id="77"/>
    <w:bookmarkStart w:id="78" w:name="suggested-use-cases"/>
    <w:p>
      <w:pPr>
        <w:pStyle w:val="Heading2"/>
      </w:pPr>
      <w:r>
        <w:t xml:space="preserve">Suggested Use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Rates Traders:</w:t>
      </w:r>
      <w:r>
        <w:t xml:space="preserve"> </w:t>
      </w:r>
      <w:r>
        <w:t xml:space="preserve">Focus on Sections 1-3 (trend, momentum, drivers) and Section 8 (shocks).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Analysis:</w:t>
      </w:r>
      <w:r>
        <w:t xml:space="preserve"> </w:t>
      </w:r>
      <w:r>
        <w:t xml:space="preserve">Sections 4-6 (breadth, distribution, underlying) for broad-based vs concentrated inflation.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Nowcasting:</w:t>
      </w:r>
      <w:r>
        <w:t xml:space="preserve"> </w:t>
      </w:r>
      <w:r>
        <w:t xml:space="preserve">Section 9 (top movers) for latest month attribution.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Seasonality Research:</w:t>
      </w:r>
      <w:r>
        <w:t xml:space="preserve"> </w:t>
      </w:r>
      <w:r>
        <w:t xml:space="preserve">Section 7 heatmaps for harvest/festival effects.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Chartbook Generated:</w:t>
      </w:r>
      <w:r>
        <w:t xml:space="preserve"> </w:t>
      </w:r>
      <w:r>
        <w:t xml:space="preserve">{pd.Timestamp.now().strftime(</w:t>
      </w:r>
      <w:r>
        <w:t xml:space="preserve">‘%Y-%m-%d %H:%M:%S’</w:t>
      </w:r>
      <w:r>
        <w:t xml:space="preserve">)}</w:t>
      </w:r>
      <w:r>
        <w:br/>
      </w:r>
      <w:r>
        <w:rPr>
          <w:b/>
          <w:bCs/>
        </w:rPr>
        <w:t xml:space="preserve">Data Through:</w:t>
      </w:r>
      <w:r>
        <w:t xml:space="preserve"> </w:t>
      </w:r>
      <w:r>
        <w:t xml:space="preserve">{df[</w:t>
      </w:r>
      <w:r>
        <w:t xml:space="preserve">‘time’</w:t>
      </w:r>
      <w:r>
        <w:t xml:space="preserve">].max().strftime(</w:t>
      </w:r>
      <w:r>
        <w:t xml:space="preserve">‘%B %Y’</w:t>
      </w:r>
      <w:r>
        <w:t xml:space="preserve">)}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31" Target="media/rId31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54" Target="media/rId54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India CPI Inflation Chartbook</dc:title>
  <dc:creator/>
  <cp:keywords/>
  <dcterms:created xsi:type="dcterms:W3CDTF">2026-01-12T08:35:20Z</dcterms:created>
  <dcterms:modified xsi:type="dcterms:W3CDTF">2026-01-12T08:35:20Z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2026-01-12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Fixed Income Macro Analysis</vt:lpwstr>
  </property>
  <property fmtid="{D5CDD505-2E9C-101B-9397-08002B2CF9AE}" pid="10" name="toc-title">
    <vt:lpwstr>Table of contents</vt:lpwstr>
  </property>
</Properties>
</file>