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7.png" ContentType="image/png"/>
  <Override PartName="/word/media/rId31.png" ContentType="image/png"/>
  <Override PartName="/word/media/rId42.png" ContentType="image/png"/>
  <Override PartName="/word/media/rId59.png" ContentType="image/png"/>
  <Override PartName="/word/media/rId54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Granular CPI Analysis Report - Sub-Component Level</w:t>
      </w:r>
    </w:p>
    <w:p>
      <w:pPr>
        <w:pStyle w:val="Date"/>
      </w:pPr>
      <w:r>
        <w:t xml:space="preserve">2026-01-12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Total granular CPI components: 298</w:t>
      </w:r>
    </w:p>
    <w:bookmarkStart w:id="30" w:name="top-movers"/>
    <w:p>
      <w:pPr>
        <w:pStyle w:val="Heading1"/>
      </w:pPr>
      <w:r>
        <w:t xml:space="preserve">1. Top Movers</w:t>
      </w:r>
    </w:p>
    <w:bookmarkStart w:id="24" w:name="month-on-month-top-movers"/>
    <w:p>
      <w:pPr>
        <w:pStyle w:val="Heading2"/>
      </w:pPr>
      <w:r>
        <w:t xml:space="preserve">1.1 Month-on-Month Top Movers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top-changes-mom"/>
          <w:p>
            <w:pPr>
              <w:pStyle w:val="Compact"/>
              <w:jc w:val="center"/>
            </w:pPr>
            <w:r>
              <w:drawing>
                <wp:inline>
                  <wp:extent cx="5334000" cy="443721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nflation_detailed_analysis_files/figure-docx/fig-top-changes-mom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37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Top 10 Inflationary and Deflationary Items (Month-on-Month)</w:t>
            </w:r>
          </w:p>
          <w:bookmarkEnd w:id="23"/>
        </w:tc>
      </w:tr>
    </w:tbl>
    <w:bookmarkEnd w:id="24"/>
    <w:bookmarkStart w:id="29" w:name="year-on-year-top-movers"/>
    <w:p>
      <w:pPr>
        <w:pStyle w:val="Heading2"/>
      </w:pPr>
      <w:r>
        <w:t xml:space="preserve">1.2 Year-on-Year Top Movers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top-changes-yoy"/>
          <w:p>
            <w:pPr>
              <w:pStyle w:val="Compact"/>
              <w:jc w:val="center"/>
            </w:pPr>
            <w:r>
              <w:drawing>
                <wp:inline>
                  <wp:extent cx="5334000" cy="443721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nflation_detailed_analysis_files/figure-docx/fig-top-changes-yoy-output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37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Top 10 Inflationary and Deflationary Items (Year-on-Year)</w:t>
            </w:r>
          </w:p>
          <w:bookmarkEnd w:id="28"/>
        </w:tc>
      </w:tr>
    </w:tbl>
    <w:bookmarkEnd w:id="29"/>
    <w:bookmarkEnd w:id="30"/>
    <w:bookmarkStart w:id="53" w:name="inflation-distribution"/>
    <w:p>
      <w:pPr>
        <w:pStyle w:val="Heading1"/>
      </w:pPr>
      <w:r>
        <w:t xml:space="preserve">2. Inflation Distribution</w:t>
      </w:r>
    </w:p>
    <w:bookmarkStart w:id="41" w:name="count-based-dispersion-number-of-items"/>
    <w:p>
      <w:pPr>
        <w:pStyle w:val="Heading2"/>
      </w:pPr>
      <w:r>
        <w:t xml:space="preserve">2.1 Count-Based Dispersion (Number of Items)</w:t>
      </w:r>
    </w:p>
    <w:bookmarkStart w:id="35" w:name="year-view-normalized"/>
    <w:p>
      <w:pPr>
        <w:pStyle w:val="Heading3"/>
      </w:pPr>
      <w:r>
        <w:t xml:space="preserve">2.1.1 7-Year View (Normalized)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ispersion-7y-norm-count"/>
          <w:p>
            <w:pPr>
              <w:pStyle w:val="Compact"/>
              <w:jc w:val="center"/>
            </w:pPr>
            <w:r>
              <w:drawing>
                <wp:inline>
                  <wp:extent cx="5334000" cy="264700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flation_detailed_analysis_files/figure-docx/fig-dispersion-7y-norm-coun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7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Inflation Distribution by Bracket - Last 7 Years (Normalized, Count-Based)</w:t>
            </w:r>
          </w:p>
          <w:bookmarkEnd w:id="34"/>
        </w:tc>
      </w:tr>
    </w:tbl>
    <w:bookmarkEnd w:id="35"/>
    <w:bookmarkStart w:id="40" w:name="year-view-normalized-1"/>
    <w:p>
      <w:pPr>
        <w:pStyle w:val="Heading3"/>
      </w:pPr>
      <w:r>
        <w:t xml:space="preserve">2.1.2 3-Year View (Normalized)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dispersion-3y-norm-count"/>
          <w:p>
            <w:pPr>
              <w:pStyle w:val="Compact"/>
              <w:jc w:val="center"/>
            </w:pPr>
            <w:r>
              <w:drawing>
                <wp:inline>
                  <wp:extent cx="5334000" cy="264700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nflation_detailed_analysis_files/figure-docx/fig-dispersion-3y-norm-count-output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7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Inflation Distribution by Bracket - Last 3 Years (Normalized, Count-Based)</w:t>
            </w:r>
          </w:p>
          <w:bookmarkEnd w:id="39"/>
        </w:tc>
      </w:tr>
    </w:tbl>
    <w:bookmarkEnd w:id="40"/>
    <w:bookmarkEnd w:id="41"/>
    <w:bookmarkStart w:id="52" w:name="weight-based-dispersion-of-cpi-weight"/>
    <w:p>
      <w:pPr>
        <w:pStyle w:val="Heading2"/>
      </w:pPr>
      <w:r>
        <w:t xml:space="preserve">2.2 Weight-Based Dispersion (% of CPI Weight)</w:t>
      </w:r>
    </w:p>
    <w:bookmarkStart w:id="46" w:name="year-view-normalized-weight-based"/>
    <w:p>
      <w:pPr>
        <w:pStyle w:val="Heading3"/>
      </w:pPr>
      <w:r>
        <w:t xml:space="preserve">2.2.1 7-Year View (Normalized, Weight-Based)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dispersion-7y-weight"/>
          <w:p>
            <w:pPr>
              <w:pStyle w:val="Compact"/>
              <w:jc w:val="center"/>
            </w:pPr>
            <w:r>
              <w:drawing>
                <wp:inline>
                  <wp:extent cx="5334000" cy="264700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nflation_detailed_analysis_files/figure-docx/fig-dispersion-7y-weight-output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7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Inflation Distribution by Bracket - Last 7 Years (Weight-Based)</w:t>
            </w:r>
          </w:p>
          <w:bookmarkEnd w:id="45"/>
        </w:tc>
      </w:tr>
    </w:tbl>
    <w:bookmarkEnd w:id="46"/>
    <w:bookmarkStart w:id="51" w:name="year-view-normalized-weight-based-1"/>
    <w:p>
      <w:pPr>
        <w:pStyle w:val="Heading3"/>
      </w:pPr>
      <w:r>
        <w:t xml:space="preserve">2.2.2 3-Year View (Normalized, Weight-Based)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dispersion-3y-weight"/>
          <w:p>
            <w:pPr>
              <w:pStyle w:val="Compact"/>
              <w:jc w:val="center"/>
            </w:pPr>
            <w:r>
              <w:drawing>
                <wp:inline>
                  <wp:extent cx="5334000" cy="264700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lation_detailed_analysis_files/figure-docx/fig-dispersion-3y-weight-output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7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Inflation Distribution by Bracket - Last 3 Years (Weight-Based)</w:t>
            </w:r>
          </w:p>
          <w:bookmarkEnd w:id="50"/>
        </w:tc>
      </w:tr>
    </w:tbl>
    <w:bookmarkEnd w:id="51"/>
    <w:bookmarkEnd w:id="52"/>
    <w:bookmarkEnd w:id="53"/>
    <w:bookmarkStart w:id="64" w:name="annualized-mom-threshold-analysis"/>
    <w:p>
      <w:pPr>
        <w:pStyle w:val="Heading1"/>
      </w:pPr>
      <w:r>
        <w:t xml:space="preserve">3. Annualized MoM Threshold Analysis</w:t>
      </w:r>
    </w:p>
    <w:bookmarkStart w:id="58" w:name="annualized-0.5-mom-threshold"/>
    <w:p>
      <w:pPr>
        <w:pStyle w:val="Heading2"/>
      </w:pPr>
      <w:r>
        <w:t xml:space="preserve">3.1 6% Annualized (0.5% MoM Threshold)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threshold-6-dual"/>
          <w:p>
            <w:pPr>
              <w:pStyle w:val="Compact"/>
              <w:jc w:val="center"/>
            </w:pPr>
            <w:r>
              <w:drawing>
                <wp:inline>
                  <wp:extent cx="5334000" cy="226825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nflation_detailed_analysis_files/figure-docx/fig-threshold-6-dual-output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68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Items Above/Below 6% Annualized Inflation (0.5% MoM) - Count and Weight</w:t>
            </w:r>
          </w:p>
          <w:bookmarkEnd w:id="57"/>
        </w:tc>
      </w:tr>
    </w:tbl>
    <w:bookmarkEnd w:id="58"/>
    <w:bookmarkStart w:id="63" w:name="annualized-0.33-mom-threshold"/>
    <w:p>
      <w:pPr>
        <w:pStyle w:val="Heading2"/>
      </w:pPr>
      <w:r>
        <w:t xml:space="preserve">3.2 4% Annualized (0.33% MoM Threshold)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threshold-4-dual"/>
          <w:p>
            <w:pPr>
              <w:pStyle w:val="Compact"/>
              <w:jc w:val="center"/>
            </w:pPr>
            <w:r>
              <w:drawing>
                <wp:inline>
                  <wp:extent cx="5334000" cy="226825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nflation_detailed_analysis_files/figure-docx/fig-threshold-4-dual-outpu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68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Items Above/Below 4% Annualized Inflation (0.33% MoM) - Count and Weight</w:t>
            </w:r>
          </w:p>
          <w:bookmarkEnd w:id="62"/>
        </w:tc>
      </w:tr>
    </w:tbl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47" Target="media/rId47.png" /><Relationship Type="http://schemas.openxmlformats.org/officeDocument/2006/relationships/image" Id="rId31" Target="media/rId31.png" /><Relationship Type="http://schemas.openxmlformats.org/officeDocument/2006/relationships/image" Id="rId42" Target="media/rId42.png" /><Relationship Type="http://schemas.openxmlformats.org/officeDocument/2006/relationships/image" Id="rId59" Target="media/rId59.png" /><Relationship Type="http://schemas.openxmlformats.org/officeDocument/2006/relationships/image" Id="rId54" Target="media/rId54.png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Granular CPI Analysis Report - Sub-Component Level</dc:title>
  <dc:creator/>
  <cp:keywords/>
  <dcterms:created xsi:type="dcterms:W3CDTF">2026-01-12T09:54:02Z</dcterms:created>
  <dcterms:modified xsi:type="dcterms:W3CDTF">2026-01-12T09:54:02Z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2026-01-12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