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3.png" ContentType="image/png"/>
  <Override PartName="/word/media/rId48.png" ContentType="image/png"/>
  <Override PartName="/word/media/rId43.png" ContentType="image/png"/>
  <Override PartName="/word/media/rId25.png" ContentType="image/png"/>
  <Override PartName="/word/media/rId68.png" ContentType="image/png"/>
  <Override PartName="/word/media/rId63.png" ContentType="image/png"/>
  <Override PartName="/word/media/rId112.png" ContentType="image/png"/>
  <Override PartName="/word/media/rId89.png" ContentType="image/png"/>
  <Override PartName="/word/media/rId84.png" ContentType="image/png"/>
  <Override PartName="/word/media/rId99.png" ContentType="image/png"/>
  <Override PartName="/word/media/rId94.png" ContentType="image/png"/>
  <Override PartName="/word/media/rId31.png" ContentType="image/png"/>
  <Override PartName="/word/media/rId36.png" ContentType="image/png"/>
  <Override PartName="/word/media/rId20.png" ContentType="image/png"/>
  <Override PartName="/word/media/rId117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Inflation Analysis Report</w:t>
      </w:r>
    </w:p>
    <w:p>
      <w:pPr>
        <w:pStyle w:val="Date"/>
      </w:pPr>
      <w:r>
        <w:t xml:space="preserve">2026-01-12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overall-consumer-price-index-heatmap"/>
    <w:p>
      <w:pPr>
        <w:pStyle w:val="Heading1"/>
      </w:pPr>
      <w:r>
        <w:t xml:space="preserve">1. Overall Consumer Price Index Heatmap</w:t>
      </w:r>
    </w:p>
    <w:bookmarkStart w:id="24" w:name="year-on-year-change"/>
    <w:p>
      <w:pPr>
        <w:pStyle w:val="Heading2"/>
      </w:pPr>
      <w:r>
        <w:t xml:space="preserve">1.1 Year-on-Year Change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yoy-heatmap"/>
          <w:p>
            <w:pPr>
              <w:pStyle w:val="Compact"/>
              <w:jc w:val="center"/>
            </w:pPr>
            <w:r>
              <w:drawing>
                <wp:inline>
                  <wp:extent cx="5334000" cy="343073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yoy-heatmap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30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Consumer Price Index - Year-on-Year Change Heatmap</w:t>
            </w:r>
          </w:p>
          <w:bookmarkEnd w:id="23"/>
        </w:tc>
      </w:tr>
    </w:tbl>
    <w:bookmarkEnd w:id="24"/>
    <w:bookmarkStart w:id="29" w:name="month-on-month-change"/>
    <w:p>
      <w:pPr>
        <w:pStyle w:val="Heading2"/>
      </w:pPr>
      <w:r>
        <w:t xml:space="preserve">1.2 Month-on-Month Change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mom-heatmap"/>
          <w:p>
            <w:pPr>
              <w:pStyle w:val="Compact"/>
              <w:jc w:val="center"/>
            </w:pPr>
            <w:r>
              <w:drawing>
                <wp:inline>
                  <wp:extent cx="5334000" cy="331035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mom-heatmap-output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1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Consumer Price Index - Month-on-Month Change Heatmap</w:t>
            </w:r>
          </w:p>
          <w:bookmarkEnd w:id="28"/>
        </w:tc>
      </w:tr>
    </w:tbl>
    <w:bookmarkEnd w:id="29"/>
    <w:bookmarkEnd w:id="30"/>
    <w:bookmarkStart w:id="42" w:name="top-5-changes"/>
    <w:p>
      <w:pPr>
        <w:pStyle w:val="Heading1"/>
      </w:pPr>
      <w:r>
        <w:t xml:space="preserve">2. Top 5 Changes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top-changes"/>
          <w:p>
            <w:pPr>
              <w:pStyle w:val="Compact"/>
              <w:jc w:val="center"/>
            </w:pPr>
            <w:r>
              <w:drawing>
                <wp:inline>
                  <wp:extent cx="5334000" cy="425597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top-changes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Top Inflationary and Deflationary Categories (Month-on-Month)</w:t>
            </w:r>
          </w:p>
          <w:bookmarkEnd w:id="34"/>
        </w:tc>
      </w:tr>
    </w:tbl>
    <w:bookmarkStart w:id="35" w:name="key-observations"/>
    <w:p>
      <w:pPr>
        <w:pStyle w:val="Heading2"/>
      </w:pPr>
      <w:r>
        <w:t xml:space="preserve">2.1 Key Observations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Silver</w:t>
      </w:r>
      <w:r>
        <w:t xml:space="preserve"> </w:t>
      </w:r>
      <w:r>
        <w:t xml:space="preserve">experienced the highest inflationary pressure with a</w:t>
      </w:r>
      <w:r>
        <w:t xml:space="preserve"> </w:t>
      </w:r>
      <w:r>
        <w:rPr>
          <w:b/>
          <w:bCs/>
        </w:rPr>
        <w:t xml:space="preserve">21.68%</w:t>
      </w:r>
      <w:r>
        <w:t xml:space="preserve"> </w:t>
      </w:r>
      <w:r>
        <w:t xml:space="preserve">increase.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Motor Car, Jeep</w:t>
      </w:r>
      <w:r>
        <w:t xml:space="preserve"> </w:t>
      </w:r>
      <w:r>
        <w:t xml:space="preserve">showed the largest deflationary trend with a</w:t>
      </w:r>
      <w:r>
        <w:t xml:space="preserve"> </w:t>
      </w:r>
      <w:r>
        <w:rPr>
          <w:b/>
          <w:bCs/>
        </w:rPr>
        <w:t xml:space="preserve">-6.85%</w:t>
      </w:r>
      <w:r>
        <w:t xml:space="preserve"> </w:t>
      </w:r>
      <w:r>
        <w:t xml:space="preserve">decrease.</w:t>
      </w:r>
    </w:p>
    <w:bookmarkEnd w:id="35"/>
    <w:bookmarkStart w:id="41" w:name="year-on-year-top-movers"/>
    <w:p>
      <w:pPr>
        <w:pStyle w:val="Heading2"/>
      </w:pPr>
      <w:r>
        <w:t xml:space="preserve">2.2 Year-on-Year Top Movers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top-changes-yoy"/>
          <w:p>
            <w:pPr>
              <w:pStyle w:val="Compact"/>
              <w:jc w:val="center"/>
            </w:pPr>
            <w:r>
              <w:drawing>
                <wp:inline>
                  <wp:extent cx="5334000" cy="425597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top-changes-yoy-output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Top Inflationary and Deflationary Categories (Year-on-Year)</w:t>
            </w:r>
          </w:p>
          <w:bookmarkEnd w:id="39"/>
        </w:tc>
      </w:tr>
    </w:tbl>
    <w:bookmarkStart w:id="40" w:name="key-observations-yoy"/>
    <w:p>
      <w:pPr>
        <w:pStyle w:val="Heading3"/>
      </w:pPr>
      <w:r>
        <w:t xml:space="preserve">2.2.1 Key Observations (YoY)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Coconut Oil</w:t>
      </w:r>
      <w:r>
        <w:t xml:space="preserve"> </w:t>
      </w:r>
      <w:r>
        <w:t xml:space="preserve">experienced the highest year-on-year inflationary pressure with a</w:t>
      </w:r>
      <w:r>
        <w:t xml:space="preserve"> </w:t>
      </w:r>
      <w:r>
        <w:rPr>
          <w:b/>
          <w:bCs/>
        </w:rPr>
        <w:t xml:space="preserve">92.67%</w:t>
      </w:r>
      <w:r>
        <w:t xml:space="preserve"> </w:t>
      </w:r>
      <w:r>
        <w:t xml:space="preserve">increase.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Ginger</w:t>
      </w:r>
      <w:r>
        <w:t xml:space="preserve"> </w:t>
      </w:r>
      <w:r>
        <w:t xml:space="preserve">showed the largest year-on-year deflationary trend with a</w:t>
      </w:r>
      <w:r>
        <w:t xml:space="preserve"> </w:t>
      </w:r>
      <w:r>
        <w:rPr>
          <w:b/>
          <w:bCs/>
        </w:rPr>
        <w:t xml:space="preserve">-33.19%</w:t>
      </w:r>
      <w:r>
        <w:t xml:space="preserve"> </w:t>
      </w:r>
      <w:r>
        <w:t xml:space="preserve">decrease.</w:t>
      </w:r>
    </w:p>
    <w:bookmarkEnd w:id="40"/>
    <w:bookmarkEnd w:id="41"/>
    <w:bookmarkEnd w:id="42"/>
    <w:bookmarkStart w:id="83" w:name="inflation-dispersion-analysis"/>
    <w:p>
      <w:pPr>
        <w:pStyle w:val="Heading1"/>
      </w:pPr>
      <w:r>
        <w:t xml:space="preserve">3. Inflation Dispersion Analysis</w:t>
      </w:r>
    </w:p>
    <w:p>
      <w:pPr>
        <w:pStyle w:val="FirstParagraph"/>
      </w:pPr>
      <w:r>
        <w:t xml:space="preserve">This section analyzes how inflation is distributed across different CPI components, showing whether price changes are broad-based or concentrated in specific items.</w:t>
      </w:r>
    </w:p>
    <w:bookmarkStart w:id="47" w:name="distribution-over-time-normalized"/>
    <w:p>
      <w:pPr>
        <w:pStyle w:val="Heading2"/>
      </w:pPr>
      <w:r>
        <w:t xml:space="preserve">3.1 Distribution Over Time (Normalized)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ispersion-normalized"/>
          <w:p>
            <w:pPr>
              <w:pStyle w:val="Compact"/>
              <w:jc w:val="center"/>
            </w:pPr>
            <w:r>
              <w:drawing>
                <wp:inline>
                  <wp:extent cx="5334000" cy="303541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dispersion-normalized-outpu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5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Inflation Dispersion - Percentage of CPI Components by Bracket</w:t>
            </w:r>
          </w:p>
          <w:bookmarkEnd w:id="46"/>
        </w:tc>
      </w:tr>
    </w:tbl>
    <w:bookmarkEnd w:id="47"/>
    <w:bookmarkStart w:id="52" w:name="recent-trends-last-3-years"/>
    <w:p>
      <w:pPr>
        <w:pStyle w:val="Heading2"/>
      </w:pPr>
      <w:r>
        <w:t xml:space="preserve">3.2 Recent Trends (Last 3 Years)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ispersion-normalized-3yr"/>
          <w:p>
            <w:pPr>
              <w:pStyle w:val="Compact"/>
              <w:jc w:val="center"/>
            </w:pPr>
            <w:r>
              <w:drawing>
                <wp:inline>
                  <wp:extent cx="5334000" cy="303086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dispersion-normalized-3yr-outpu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0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Inflation Dispersion - Last 3 Years (Normalized)</w:t>
            </w:r>
          </w:p>
          <w:bookmarkEnd w:id="51"/>
        </w:tc>
      </w:tr>
    </w:tbl>
    <w:bookmarkEnd w:id="52"/>
    <w:bookmarkStart w:id="57" w:name="distribution-over-time-absolute-counts"/>
    <w:p>
      <w:pPr>
        <w:pStyle w:val="Heading2"/>
      </w:pPr>
      <w:r>
        <w:t xml:space="preserve">3.3 Distribution Over Time (Absolute Counts)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dispersion-absolute"/>
          <w:p>
            <w:pPr>
              <w:pStyle w:val="Compact"/>
              <w:jc w:val="center"/>
            </w:pPr>
            <w:r>
              <w:drawing>
                <wp:inline>
                  <wp:extent cx="5334000" cy="303541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dispersion-absolute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5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Inflation Dispersion - Absolute Count of CPI Components by Bracket</w:t>
            </w:r>
          </w:p>
          <w:bookmarkEnd w:id="56"/>
        </w:tc>
      </w:tr>
    </w:tbl>
    <w:bookmarkEnd w:id="57"/>
    <w:bookmarkStart w:id="62" w:name="recent-trends-last-3-years---absolute"/>
    <w:p>
      <w:pPr>
        <w:pStyle w:val="Heading2"/>
      </w:pPr>
      <w:r>
        <w:t xml:space="preserve">3.4 Recent Trends (Last 3 Years - Absolute)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ispersion-absolute-3yr"/>
          <w:p>
            <w:pPr>
              <w:pStyle w:val="Compact"/>
              <w:jc w:val="center"/>
            </w:pPr>
            <w:r>
              <w:drawing>
                <wp:inline>
                  <wp:extent cx="5334000" cy="304455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dispersion-absolute-3yr-output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4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Inflation Dispersion - Last 3 Years (Absolute Counts)</w:t>
            </w:r>
          </w:p>
          <w:bookmarkEnd w:id="61"/>
        </w:tc>
      </w:tr>
    </w:tbl>
    <w:bookmarkEnd w:id="62"/>
    <w:bookmarkStart w:id="79" w:name="annualized-mom-threshold-analysis"/>
    <w:p>
      <w:pPr>
        <w:pStyle w:val="Heading2"/>
      </w:pPr>
      <w:r>
        <w:t xml:space="preserve">3.5 Annualized MoM Threshold Analysis</w:t>
      </w:r>
    </w:p>
    <w:bookmarkStart w:id="67" w:name="annualized-threshold-0.5-mom"/>
    <w:p>
      <w:pPr>
        <w:pStyle w:val="Heading3"/>
      </w:pPr>
      <w:r>
        <w:t xml:space="preserve">3.5.1 6% Annualized Threshold (0.5% MoM)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mom-threshold-6"/>
          <w:p>
            <w:pPr>
              <w:pStyle w:val="Compact"/>
              <w:jc w:val="center"/>
            </w:pPr>
            <w:r>
              <w:drawing>
                <wp:inline>
                  <wp:extent cx="5334000" cy="247449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mom-threshold-6-output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4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Inflation Breadth: Share of Components Above/Below 6% Annualized Pace</w:t>
            </w:r>
          </w:p>
          <w:bookmarkEnd w:id="66"/>
        </w:tc>
      </w:tr>
    </w:tbl>
    <w:bookmarkEnd w:id="67"/>
    <w:bookmarkStart w:id="72" w:name="annualized-threshold-0.33-mom"/>
    <w:p>
      <w:pPr>
        <w:pStyle w:val="Heading3"/>
      </w:pPr>
      <w:r>
        <w:t xml:space="preserve">3.5.2 4% Annualized Threshold (0.33% MoM)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mom-threshold-4"/>
          <w:p>
            <w:pPr>
              <w:pStyle w:val="Compact"/>
              <w:jc w:val="center"/>
            </w:pPr>
            <w:r>
              <w:drawing>
                <wp:inline>
                  <wp:extent cx="5334000" cy="247449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mom-threshold-4-output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4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Inflation Breadth: Share of Components Above/Below 4% Annualized Pace</w:t>
            </w:r>
          </w:p>
          <w:bookmarkEnd w:id="71"/>
        </w:tc>
      </w:tr>
    </w:tbl>
    <w:bookmarkEnd w:id="72"/>
    <w:bookmarkStart w:id="73" w:name="mom-threshold-insights"/>
    <w:p>
      <w:pPr>
        <w:pStyle w:val="Heading3"/>
      </w:pPr>
      <w:r>
        <w:t xml:space="preserve">3.5.3 MoM Threshold Insights</w:t>
      </w:r>
    </w:p>
    <w:bookmarkEnd w:id="73"/>
    <w:bookmarkStart w:id="78" w:name="current-month-october-2025"/>
    <w:p>
      <w:pPr>
        <w:pStyle w:val="Heading3"/>
      </w:pPr>
      <w:r>
        <w:t xml:space="preserve">3.5.4 Current Month (October 2025)</w:t>
      </w:r>
    </w:p>
    <w:bookmarkStart w:id="74" w:name="annualized-threshold"/>
    <w:p>
      <w:pPr>
        <w:pStyle w:val="Heading4"/>
      </w:pPr>
      <w:r>
        <w:t xml:space="preserve">3.5.4.1 6% Annualized Threshold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17.1%</w:t>
      </w:r>
      <w:r>
        <w:t xml:space="preserve"> </w:t>
      </w:r>
      <w:r>
        <w:t xml:space="preserve">(55 components) are currently inflating above the 6% annualized pace (&gt;0.5% MoM)</w:t>
      </w:r>
    </w:p>
    <w:p>
      <w:pPr>
        <w:numPr>
          <w:ilvl w:val="0"/>
          <w:numId w:val="1003"/>
        </w:numPr>
      </w:pPr>
      <w:r>
        <w:t xml:space="preserve">Inflation pressure is</w:t>
      </w:r>
      <w:r>
        <w:t xml:space="preserve"> </w:t>
      </w:r>
      <w:r>
        <w:rPr>
          <w:b/>
          <w:bCs/>
        </w:rPr>
        <w:t xml:space="preserve">concentrated in select items</w:t>
      </w:r>
      <w:r>
        <w:t xml:space="preserve">, suggesting</w:t>
      </w:r>
      <w:r>
        <w:t xml:space="preserve"> </w:t>
      </w:r>
      <w:r>
        <w:rPr>
          <w:b/>
          <w:bCs/>
        </w:rPr>
        <w:t xml:space="preserve">contained inflation</w:t>
      </w:r>
      <w:r>
        <w:t xml:space="preserve"> </w:t>
      </w:r>
      <w:r>
        <w:t xml:space="preserve">with most components cooling</w:t>
      </w:r>
    </w:p>
    <w:bookmarkEnd w:id="74"/>
    <w:bookmarkStart w:id="75" w:name="annualized-threshold-1"/>
    <w:p>
      <w:pPr>
        <w:pStyle w:val="Heading4"/>
      </w:pPr>
      <w:r>
        <w:t xml:space="preserve">3.5.4.2 4% Annualized Threshold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22.7%</w:t>
      </w:r>
      <w:r>
        <w:t xml:space="preserve"> </w:t>
      </w:r>
      <w:r>
        <w:t xml:space="preserve">(73 components) are inflating above the 4% annualized pace (&gt;0.33% MoM)</w:t>
      </w:r>
    </w:p>
    <w:p>
      <w:pPr>
        <w:numPr>
          <w:ilvl w:val="0"/>
          <w:numId w:val="1004"/>
        </w:numPr>
      </w:pPr>
      <w:r>
        <w:t xml:space="preserve">The majority of components are</w:t>
      </w:r>
      <w:r>
        <w:t xml:space="preserve"> </w:t>
      </w:r>
      <w:r>
        <w:rPr>
          <w:b/>
          <w:bCs/>
        </w:rPr>
        <w:t xml:space="preserve">below the 4% lower bound</w:t>
      </w:r>
      <w:r>
        <w:t xml:space="preserve">, potentially signaling room for</w:t>
      </w:r>
      <w:r>
        <w:t xml:space="preserve"> </w:t>
      </w:r>
      <w:r>
        <w:rPr>
          <w:b/>
          <w:bCs/>
        </w:rPr>
        <w:t xml:space="preserve">policy easing</w:t>
      </w:r>
    </w:p>
    <w:bookmarkEnd w:id="75"/>
    <w:bookmarkStart w:id="76" w:name="change-from-year-ago-october-2024"/>
    <w:p>
      <w:pPr>
        <w:pStyle w:val="Heading4"/>
      </w:pPr>
      <w:r>
        <w:t xml:space="preserve">3.5.4.3 Change from Year Ago (October 2024)</w:t>
      </w:r>
    </w:p>
    <w:p>
      <w:pPr>
        <w:numPr>
          <w:ilvl w:val="0"/>
          <w:numId w:val="1005"/>
        </w:numPr>
      </w:pPr>
      <w:r>
        <w:t xml:space="preserve">The share of components above 6% annualized pace has</w:t>
      </w:r>
      <w:r>
        <w:t xml:space="preserve"> </w:t>
      </w:r>
      <w:r>
        <w:rPr>
          <w:b/>
          <w:bCs/>
        </w:rPr>
        <w:t xml:space="preserve">decreased by 16.2 percentage points</w:t>
      </w:r>
    </w:p>
    <w:p>
      <w:pPr>
        <w:numPr>
          <w:ilvl w:val="0"/>
          <w:numId w:val="1005"/>
        </w:numPr>
      </w:pPr>
      <w:r>
        <w:t xml:space="preserve">The share of components above 4% annualized pace has</w:t>
      </w:r>
      <w:r>
        <w:t xml:space="preserve"> </w:t>
      </w:r>
      <w:r>
        <w:rPr>
          <w:b/>
          <w:bCs/>
        </w:rPr>
        <w:t xml:space="preserve">decreased by 22.1 percentage points</w:t>
      </w:r>
    </w:p>
    <w:bookmarkEnd w:id="76"/>
    <w:bookmarkStart w:id="77" w:name="month-trend"/>
    <w:p>
      <w:pPr>
        <w:pStyle w:val="Heading4"/>
      </w:pPr>
      <w:r>
        <w:t xml:space="preserve">3.5.4.4 12-Month Trend</w:t>
      </w:r>
    </w:p>
    <w:p>
      <w:pPr>
        <w:numPr>
          <w:ilvl w:val="0"/>
          <w:numId w:val="1006"/>
        </w:numPr>
      </w:pPr>
      <w:r>
        <w:t xml:space="preserve">Components above 6% threshold show</w:t>
      </w:r>
      <w:r>
        <w:t xml:space="preserve"> </w:t>
      </w:r>
      <w:r>
        <w:rPr>
          <w:b/>
          <w:bCs/>
        </w:rPr>
        <w:t xml:space="preserve">no clear trend</w:t>
      </w:r>
      <w:r>
        <w:t xml:space="preserve"> </w:t>
      </w:r>
      <w:r>
        <w:t xml:space="preserve">over the past year</w:t>
      </w:r>
    </w:p>
    <w:p>
      <w:pPr>
        <w:numPr>
          <w:ilvl w:val="0"/>
          <w:numId w:val="1006"/>
        </w:numPr>
      </w:pPr>
      <w:r>
        <w:t xml:space="preserve">Components above 4% threshold show</w:t>
      </w:r>
      <w:r>
        <w:t xml:space="preserve"> </w:t>
      </w:r>
      <w:r>
        <w:rPr>
          <w:b/>
          <w:bCs/>
        </w:rPr>
        <w:t xml:space="preserve">no clear trend</w:t>
      </w:r>
      <w:r>
        <w:t xml:space="preserve"> </w:t>
      </w:r>
      <w:r>
        <w:t xml:space="preserve">over the past year</w:t>
      </w:r>
    </w:p>
    <w:bookmarkEnd w:id="77"/>
    <w:bookmarkEnd w:id="78"/>
    <w:bookmarkEnd w:id="79"/>
    <w:bookmarkStart w:id="82" w:name="key-insights"/>
    <w:p>
      <w:pPr>
        <w:pStyle w:val="Heading2"/>
      </w:pPr>
      <w:r>
        <w:t xml:space="preserve">3.6 Key Insights</w:t>
      </w:r>
    </w:p>
    <w:bookmarkStart w:id="80" w:name="current-month-october-2025-1"/>
    <w:p>
      <w:pPr>
        <w:pStyle w:val="Heading3"/>
      </w:pPr>
      <w:r>
        <w:t xml:space="preserve">3.6.1 Current Month (October 2025)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11.2%</w:t>
      </w:r>
      <w:r>
        <w:t xml:space="preserve"> </w:t>
      </w:r>
      <w:r>
        <w:t xml:space="preserve">of CPI components are within the RBI target band (4-6%)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12.8%</w:t>
      </w:r>
      <w:r>
        <w:t xml:space="preserve"> </w:t>
      </w:r>
      <w:r>
        <w:t xml:space="preserve">of components are experiencing above-target inflation (&gt;6%)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76.0%</w:t>
      </w:r>
      <w:r>
        <w:t xml:space="preserve"> </w:t>
      </w:r>
      <w:r>
        <w:t xml:space="preserve">of components are below the 4% threshold</w:t>
      </w:r>
    </w:p>
    <w:p>
      <w:pPr>
        <w:numPr>
          <w:ilvl w:val="0"/>
          <w:numId w:val="1007"/>
        </w:numPr>
      </w:pPr>
      <w:r>
        <w:t xml:space="preserve">The dominant category is</w:t>
      </w:r>
      <w:r>
        <w:t xml:space="preserve"> </w:t>
      </w:r>
      <w:r>
        <w:rPr>
          <w:b/>
          <w:bCs/>
        </w:rPr>
        <w:t xml:space="preserve">Moderate (2-4%)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28.0%</w:t>
      </w:r>
      <w:r>
        <w:t xml:space="preserve"> </w:t>
      </w:r>
      <w:r>
        <w:t xml:space="preserve">of all components</w:t>
      </w:r>
    </w:p>
    <w:bookmarkEnd w:id="80"/>
    <w:bookmarkStart w:id="81" w:name="change-from-year-ago-october-2024-1"/>
    <w:p>
      <w:pPr>
        <w:pStyle w:val="Heading3"/>
      </w:pPr>
      <w:r>
        <w:t xml:space="preserve">3.6.2 Change from Year Ago (October 2024)</w:t>
      </w:r>
    </w:p>
    <w:p>
      <w:pPr>
        <w:pStyle w:val="Compact"/>
        <w:numPr>
          <w:ilvl w:val="0"/>
          <w:numId w:val="1008"/>
        </w:numPr>
      </w:pPr>
      <w:r>
        <w:t xml:space="preserve">Inflation distribution remains relatively</w:t>
      </w:r>
      <w:r>
        <w:t xml:space="preserve"> </w:t>
      </w:r>
      <w:r>
        <w:rPr>
          <w:b/>
          <w:bCs/>
        </w:rPr>
        <w:t xml:space="preserve">stable</w:t>
      </w:r>
    </w:p>
    <w:bookmarkEnd w:id="81"/>
    <w:bookmarkEnd w:id="82"/>
    <w:bookmarkEnd w:id="83"/>
    <w:bookmarkStart w:id="106" w:name="seasonality-analysis"/>
    <w:p>
      <w:pPr>
        <w:pStyle w:val="Heading1"/>
      </w:pPr>
      <w:r>
        <w:t xml:space="preserve">4. Seasonality Analysis</w:t>
      </w:r>
    </w:p>
    <w:bookmarkStart w:id="88" w:name="cpi-ex-vegetables"/>
    <w:p>
      <w:pPr>
        <w:pStyle w:val="Heading2"/>
      </w:pPr>
      <w:r>
        <w:t xml:space="preserve">4.1 CPI Ex Vegetables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easonality-exveggies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seasonality-exveggies-outpu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CPI Excluding Vegetables - Seasonality Patterns (YoY and MoM)</w:t>
            </w:r>
          </w:p>
          <w:bookmarkEnd w:id="87"/>
        </w:tc>
      </w:tr>
    </w:tbl>
    <w:bookmarkEnd w:id="88"/>
    <w:bookmarkStart w:id="93" w:name="core-cpi-ex-food-beverages-fuel"/>
    <w:p>
      <w:pPr>
        <w:pStyle w:val="Heading2"/>
      </w:pPr>
      <w:r>
        <w:t xml:space="preserve">4.2 Core CPI (Ex Food, Beverages &amp; Fuel)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easonality-core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seasonality-core-output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Core CPI (Excluding Food, Beverages &amp; Fuel &amp; Light) - Seasonality Patterns (YoY and MoM)</w:t>
            </w:r>
          </w:p>
          <w:bookmarkEnd w:id="92"/>
        </w:tc>
      </w:tr>
    </w:tbl>
    <w:bookmarkEnd w:id="93"/>
    <w:bookmarkStart w:id="98" w:name="personal-care-effects"/>
    <w:p>
      <w:pPr>
        <w:pStyle w:val="Heading2"/>
      </w:pPr>
      <w:r>
        <w:t xml:space="preserve">4.3 Personal Care &amp; Effects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easonality-personal"/>
          <w:p>
            <w:pPr>
              <w:pStyle w:val="Compact"/>
              <w:jc w:val="center"/>
            </w:pPr>
            <w:r>
              <w:drawing>
                <wp:inline>
                  <wp:extent cx="5334000" cy="266935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seasonality-personal-output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9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CPI Miscellaneous (Personal Care &amp; Effects) - Seasonality Patterns (YoY and MoM)</w:t>
            </w:r>
          </w:p>
          <w:bookmarkEnd w:id="97"/>
        </w:tc>
      </w:tr>
    </w:tbl>
    <w:bookmarkEnd w:id="98"/>
    <w:bookmarkStart w:id="103" w:name="food-price-index"/>
    <w:p>
      <w:pPr>
        <w:pStyle w:val="Heading2"/>
      </w:pPr>
      <w:r>
        <w:t xml:space="preserve">4.4 Food Price Index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seasonality-food"/>
          <w:p>
            <w:pPr>
              <w:pStyle w:val="Compact"/>
              <w:jc w:val="center"/>
            </w:pPr>
            <w:r>
              <w:drawing>
                <wp:inline>
                  <wp:extent cx="5334000" cy="266935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seasonality-food-outpu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9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Consumer Food Price Index - Seasonality Patterns (YoY and MoM)</w:t>
            </w:r>
          </w:p>
          <w:bookmarkEnd w:id="102"/>
        </w:tc>
      </w:tr>
    </w:tbl>
    <w:bookmarkEnd w:id="103"/>
    <w:bookmarkStart w:id="104" w:name="cpi-excluding-gold"/>
    <w:p>
      <w:pPr>
        <w:pStyle w:val="Heading2"/>
      </w:pPr>
      <w:r>
        <w:t xml:space="preserve">4.5 CPI (Excluding Gold)</w:t>
      </w:r>
    </w:p>
    <w:p>
      <w:pPr>
        <w:pStyle w:val="FirstParagraph"/>
      </w:pPr>
      <w:r>
        <w:t xml:space="preserve">![Consumer Food Price Index (Excluding Gold)](inflation_analysis_files/figure-docx/fig-seasonality-cpi-(ex-gold-output-1.png){#fig-seasonality-cpi-(ex-gold}</w:t>
      </w:r>
    </w:p>
    <w:bookmarkEnd w:id="104"/>
    <w:bookmarkStart w:id="105" w:name="cpi-excluding-gold-and-silver"/>
    <w:p>
      <w:pPr>
        <w:pStyle w:val="Heading2"/>
      </w:pPr>
      <w:r>
        <w:t xml:space="preserve">4.6 CPI (Excluding Gold and Silver)</w:t>
      </w:r>
    </w:p>
    <w:p>
      <w:pPr>
        <w:pStyle w:val="FirstParagraph"/>
      </w:pPr>
      <w:r>
        <w:t xml:space="preserve">![Consumer Food Price Index (Excluding Gol and Silver)](inflation_analysis_files/figure-docx/fig-seasonality-cpi-(ex-gold-and-silver-output-1.png){#fig-seasonality-cpi-(ex-gold-and-silver}</w:t>
      </w:r>
    </w:p>
    <w:bookmarkEnd w:id="105"/>
    <w:bookmarkEnd w:id="106"/>
    <w:bookmarkStart w:id="122" w:name="inflation-trends-over-time"/>
    <w:p>
      <w:pPr>
        <w:pStyle w:val="Heading1"/>
      </w:pPr>
      <w:r>
        <w:t xml:space="preserve">5. Inflation Trends Over Time</w:t>
      </w:r>
    </w:p>
    <w:bookmarkStart w:id="111" w:name="recent-trends-last-7-years"/>
    <w:p>
      <w:pPr>
        <w:pStyle w:val="Heading2"/>
      </w:pPr>
      <w:r>
        <w:t xml:space="preserve">5.1 Recent Trends (Last 7 Years)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yoy-trends"/>
          <w:p>
            <w:pPr>
              <w:pStyle w:val="Compact"/>
              <w:jc w:val="center"/>
            </w:pPr>
            <w:r>
              <w:drawing>
                <wp:inline>
                  <wp:extent cx="5334000" cy="265098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yoy-trends-outpu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0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Year-on-Year Inflation Trends - CPI Categories Comparison</w:t>
            </w:r>
          </w:p>
          <w:bookmarkEnd w:id="110"/>
        </w:tc>
      </w:tr>
    </w:tbl>
    <w:bookmarkEnd w:id="111"/>
    <w:bookmarkStart w:id="116" w:name="month-on-month-trend"/>
    <w:p>
      <w:pPr>
        <w:pStyle w:val="Heading2"/>
      </w:pPr>
      <w:r>
        <w:t xml:space="preserve">5.2 Month on Month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mom-trends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mom-trends-outpu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Month-on-Month Inflation Trends - CPI Categories Comparison</w:t>
            </w:r>
          </w:p>
          <w:bookmarkEnd w:id="115"/>
        </w:tc>
      </w:tr>
    </w:tbl>
    <w:bookmarkEnd w:id="116"/>
    <w:bookmarkStart w:id="121" w:name="historical-overview"/>
    <w:p>
      <w:pPr>
        <w:pStyle w:val="Heading2"/>
      </w:pPr>
      <w:r>
        <w:t xml:space="preserve">5.3 Historical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yoy-trends-full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nflation_analysis_files/figure-docx/fig-yoy-trends-full-output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Year-on-Year Inflation Trends - Complete Historical Data</w:t>
            </w:r>
          </w:p>
          <w:bookmarkEnd w:id="120"/>
        </w:tc>
      </w:tr>
    </w:tbl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43" Target="media/rId43.png" /><Relationship Type="http://schemas.openxmlformats.org/officeDocument/2006/relationships/image" Id="rId25" Target="media/rId25.png" /><Relationship Type="http://schemas.openxmlformats.org/officeDocument/2006/relationships/image" Id="rId68" Target="media/rId68.png" /><Relationship Type="http://schemas.openxmlformats.org/officeDocument/2006/relationships/image" Id="rId63" Target="media/rId63.png" /><Relationship Type="http://schemas.openxmlformats.org/officeDocument/2006/relationships/image" Id="rId112" Target="media/rId112.png" /><Relationship Type="http://schemas.openxmlformats.org/officeDocument/2006/relationships/image" Id="rId89" Target="media/rId89.png" /><Relationship Type="http://schemas.openxmlformats.org/officeDocument/2006/relationships/image" Id="rId84" Target="media/rId84.png" /><Relationship Type="http://schemas.openxmlformats.org/officeDocument/2006/relationships/image" Id="rId99" Target="media/rId99.png" /><Relationship Type="http://schemas.openxmlformats.org/officeDocument/2006/relationships/image" Id="rId94" Target="media/rId94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117" Target="media/rId117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Inflation Analysis Report</dc:title>
  <dc:creator/>
  <cp:keywords/>
  <dcterms:created xsi:type="dcterms:W3CDTF">2026-01-12T06:05:08Z</dcterms:created>
  <dcterms:modified xsi:type="dcterms:W3CDTF">2026-01-12T06:05:08Z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2026-01-12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