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5B88C92D"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5B88C92D"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5B88C92D" w:rsidRDefault="00B7788F" w14:paraId="2819F8C6" w14:textId="1665E87B">
            <w:pPr>
              <w:spacing/>
              <w:contextualSpacing/>
              <w:jc w:val="center"/>
              <w:rPr>
                <w:rFonts w:eastAsia="Times New Roman" w:cs="Calibri" w:cstheme="minorAscii"/>
                <w:b w:val="1"/>
                <w:bCs w:val="1"/>
                <w:sz w:val="22"/>
                <w:szCs w:val="22"/>
              </w:rPr>
            </w:pPr>
            <w:r w:rsidRPr="5B88C92D" w:rsidR="6C28231D">
              <w:rPr>
                <w:rFonts w:eastAsia="Times New Roman" w:cs="Calibri" w:cstheme="minorAscii"/>
                <w:b w:val="1"/>
                <w:bCs w:val="1"/>
                <w:sz w:val="22"/>
                <w:szCs w:val="22"/>
              </w:rPr>
              <w:t>10/22/24</w:t>
            </w:r>
          </w:p>
        </w:tc>
        <w:tc>
          <w:tcPr>
            <w:tcW w:w="2338" w:type="dxa"/>
            <w:tcMar>
              <w:left w:w="115" w:type="dxa"/>
              <w:right w:w="115" w:type="dxa"/>
            </w:tcMar>
          </w:tcPr>
          <w:p w:rsidRPr="00B7788F" w:rsidR="00531FBF" w:rsidP="5B88C92D" w:rsidRDefault="00B7788F" w14:paraId="07699096" w14:textId="7353B906">
            <w:pPr>
              <w:pStyle w:val="Normal"/>
              <w:suppressLineNumbers w:val="0"/>
              <w:bidi w:val="0"/>
              <w:spacing w:before="0" w:beforeAutospacing="off" w:after="0" w:afterAutospacing="off" w:line="259" w:lineRule="auto"/>
              <w:ind w:left="0" w:right="0"/>
              <w:contextualSpacing/>
              <w:jc w:val="center"/>
            </w:pPr>
            <w:r w:rsidRPr="5B88C92D" w:rsidR="6C28231D">
              <w:rPr>
                <w:rFonts w:eastAsia="Times New Roman" w:cs="Calibri" w:cstheme="minorAscii"/>
                <w:b w:val="1"/>
                <w:bCs w:val="1"/>
                <w:sz w:val="22"/>
                <w:szCs w:val="22"/>
              </w:rPr>
              <w:t>August Moews</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Pr="00B7788F" w:rsidR="0058064D" w:rsidP="663530E6" w:rsidRDefault="0058064D" w14:paraId="3A4DB0F5" w14:textId="014E1075">
      <w:pPr>
        <w:spacing/>
        <w:contextualSpacing/>
        <w:rPr>
          <w:rFonts w:cs="Calibri" w:cstheme="minorAscii"/>
          <w:sz w:val="22"/>
          <w:szCs w:val="22"/>
        </w:rPr>
      </w:pPr>
      <w:r w:rsidRPr="663530E6" w:rsidR="62E6EED4">
        <w:rPr>
          <w:rFonts w:cs="Calibri" w:cstheme="minorAscii"/>
          <w:sz w:val="22"/>
          <w:szCs w:val="22"/>
        </w:rPr>
        <w:t>August Moews</w:t>
      </w:r>
    </w:p>
    <w:p w:rsidR="663530E6" w:rsidP="663530E6" w:rsidRDefault="663530E6" w14:paraId="4B87771D" w14:textId="7CAF0B87">
      <w:pPr>
        <w:spacing/>
        <w:contextualSpacing/>
        <w:rPr>
          <w:rFonts w:cs="Calibri" w:cstheme="minorAsci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Pr="00B7788F" w:rsidR="00C32F3D" w:rsidP="5B88C92D" w:rsidRDefault="00DB5652" w14:paraId="5CE6734A" w14:textId="23FD4A2C">
      <w:pPr>
        <w:spacing w:line="480" w:lineRule="auto"/>
        <w:contextualSpacing/>
        <w:rPr>
          <w:rFonts w:eastAsia="Times New Roman"/>
          <w:sz w:val="22"/>
          <w:szCs w:val="22"/>
        </w:rPr>
      </w:pPr>
      <w:r w:rsidRPr="5B88C92D" w:rsidR="21FAE474">
        <w:rPr>
          <w:rFonts w:eastAsia="Times New Roman"/>
          <w:sz w:val="22"/>
          <w:szCs w:val="22"/>
        </w:rPr>
        <w:t xml:space="preserve">For Artemis </w:t>
      </w:r>
      <w:r w:rsidRPr="5B88C92D" w:rsidR="4DAA9AC2">
        <w:rPr>
          <w:rFonts w:eastAsia="Times New Roman"/>
          <w:sz w:val="22"/>
          <w:szCs w:val="22"/>
        </w:rPr>
        <w:t>Financials'</w:t>
      </w:r>
      <w:r w:rsidRPr="5B88C92D" w:rsidR="21FAE474">
        <w:rPr>
          <w:rFonts w:eastAsia="Times New Roman"/>
          <w:sz w:val="22"/>
          <w:szCs w:val="22"/>
        </w:rPr>
        <w:t xml:space="preserve"> application, I recommend using SHA-256 (Secure Hash Algorithm 256-bit) as the </w:t>
      </w:r>
      <w:r w:rsidRPr="5B88C92D" w:rsidR="198A2532">
        <w:rPr>
          <w:rFonts w:eastAsia="Times New Roman"/>
          <w:sz w:val="22"/>
          <w:szCs w:val="22"/>
        </w:rPr>
        <w:t>cryptographic</w:t>
      </w:r>
      <w:r w:rsidRPr="5B88C92D" w:rsidR="21FAE474">
        <w:rPr>
          <w:rFonts w:eastAsia="Times New Roman"/>
          <w:sz w:val="22"/>
          <w:szCs w:val="22"/>
        </w:rPr>
        <w:t xml:space="preserve"> hash</w:t>
      </w:r>
      <w:r w:rsidRPr="5B88C92D" w:rsidR="5CD57E70">
        <w:rPr>
          <w:rFonts w:eastAsia="Times New Roman"/>
          <w:sz w:val="22"/>
          <w:szCs w:val="22"/>
        </w:rPr>
        <w:t xml:space="preserve"> algorithm to enhance security.</w:t>
      </w:r>
      <w:r w:rsidRPr="5B88C92D" w:rsidR="35227F51">
        <w:rPr>
          <w:rFonts w:eastAsia="Times New Roman"/>
          <w:sz w:val="22"/>
          <w:szCs w:val="22"/>
        </w:rPr>
        <w:t xml:space="preserve"> SHA-256 is part of the SHA-2 family of hash functions, developed by the National Security Agency (NSA)</w:t>
      </w:r>
      <w:r w:rsidRPr="5B88C92D" w:rsidR="000B50FB">
        <w:rPr>
          <w:rFonts w:eastAsia="Times New Roman"/>
          <w:sz w:val="22"/>
          <w:szCs w:val="22"/>
        </w:rPr>
        <w:t xml:space="preserve"> and is widely </w:t>
      </w:r>
      <w:r w:rsidRPr="5B88C92D" w:rsidR="42CB5437">
        <w:rPr>
          <w:rFonts w:eastAsia="Times New Roman"/>
          <w:sz w:val="22"/>
          <w:szCs w:val="22"/>
        </w:rPr>
        <w:t>recognized</w:t>
      </w:r>
      <w:r w:rsidRPr="5B88C92D" w:rsidR="000B50FB">
        <w:rPr>
          <w:rFonts w:eastAsia="Times New Roman"/>
          <w:sz w:val="22"/>
          <w:szCs w:val="22"/>
        </w:rPr>
        <w:t xml:space="preserve"> as one of the most secure and reliable algorithms available today. SHA-256 </w:t>
      </w:r>
      <w:r w:rsidRPr="5B88C92D" w:rsidR="000B50FB">
        <w:rPr>
          <w:rFonts w:eastAsia="Times New Roman"/>
          <w:sz w:val="22"/>
          <w:szCs w:val="22"/>
        </w:rPr>
        <w:t>operates</w:t>
      </w:r>
      <w:r w:rsidRPr="5B88C92D" w:rsidR="000B50FB">
        <w:rPr>
          <w:rFonts w:eastAsia="Times New Roman"/>
          <w:sz w:val="22"/>
          <w:szCs w:val="22"/>
        </w:rPr>
        <w:t xml:space="preserve"> by taking an input message of any </w:t>
      </w:r>
      <w:r w:rsidRPr="5B88C92D" w:rsidR="11D15F73">
        <w:rPr>
          <w:rFonts w:eastAsia="Times New Roman"/>
          <w:sz w:val="22"/>
          <w:szCs w:val="22"/>
        </w:rPr>
        <w:t>length</w:t>
      </w:r>
      <w:r w:rsidRPr="5B88C92D" w:rsidR="000B50FB">
        <w:rPr>
          <w:rFonts w:eastAsia="Times New Roman"/>
          <w:sz w:val="22"/>
          <w:szCs w:val="22"/>
        </w:rPr>
        <w:t xml:space="preserve"> and producing a fixed 256-bit (32-byte) hash value. This prope</w:t>
      </w:r>
      <w:r w:rsidRPr="5B88C92D" w:rsidR="4814C739">
        <w:rPr>
          <w:rFonts w:eastAsia="Times New Roman"/>
          <w:sz w:val="22"/>
          <w:szCs w:val="22"/>
        </w:rPr>
        <w:t>rty makes it ideal for verifying data integrity.</w:t>
      </w:r>
      <w:r w:rsidRPr="5B88C92D" w:rsidR="7674FB81">
        <w:rPr>
          <w:rFonts w:eastAsia="Times New Roman"/>
          <w:sz w:val="22"/>
          <w:szCs w:val="22"/>
        </w:rPr>
        <w:t xml:space="preserve"> One of the key strengths of SHA-256 lies in its resistance to collision attacks, where two different inputs </w:t>
      </w:r>
      <w:r w:rsidRPr="5B88C92D" w:rsidR="608DA6E8">
        <w:rPr>
          <w:rFonts w:eastAsia="Times New Roman"/>
          <w:sz w:val="22"/>
          <w:szCs w:val="22"/>
        </w:rPr>
        <w:t>produce</w:t>
      </w:r>
      <w:r w:rsidRPr="5B88C92D" w:rsidR="7674FB81">
        <w:rPr>
          <w:rFonts w:eastAsia="Times New Roman"/>
          <w:sz w:val="22"/>
          <w:szCs w:val="22"/>
        </w:rPr>
        <w:t xml:space="preserve"> the same hash output. As of now, SHA</w:t>
      </w:r>
      <w:r w:rsidRPr="5B88C92D" w:rsidR="1463751E">
        <w:rPr>
          <w:rFonts w:eastAsia="Times New Roman"/>
          <w:sz w:val="22"/>
          <w:szCs w:val="22"/>
        </w:rPr>
        <w:t xml:space="preserve">-256 is considered computationally </w:t>
      </w:r>
      <w:r w:rsidRPr="5B88C92D" w:rsidR="47B67C90">
        <w:rPr>
          <w:rFonts w:eastAsia="Times New Roman"/>
          <w:sz w:val="22"/>
          <w:szCs w:val="22"/>
        </w:rPr>
        <w:t>infeasible</w:t>
      </w:r>
      <w:r w:rsidRPr="5B88C92D" w:rsidR="1463751E">
        <w:rPr>
          <w:rFonts w:eastAsia="Times New Roman"/>
          <w:sz w:val="22"/>
          <w:szCs w:val="22"/>
        </w:rPr>
        <w:t xml:space="preserve"> to break, making it a strong candidate for secure applications that require data </w:t>
      </w:r>
      <w:r w:rsidRPr="5B88C92D" w:rsidR="6A836531">
        <w:rPr>
          <w:rFonts w:eastAsia="Times New Roman"/>
          <w:sz w:val="22"/>
          <w:szCs w:val="22"/>
        </w:rPr>
        <w:t>integrity</w:t>
      </w:r>
      <w:r w:rsidRPr="5B88C92D" w:rsidR="1463751E">
        <w:rPr>
          <w:rFonts w:eastAsia="Times New Roman"/>
          <w:sz w:val="22"/>
          <w:szCs w:val="22"/>
        </w:rPr>
        <w:t xml:space="preserve"> checks (NIST, 2012).</w:t>
      </w:r>
      <w:r w:rsidRPr="5B88C92D" w:rsidR="68BCA4D6">
        <w:rPr>
          <w:rFonts w:eastAsia="Times New Roman"/>
          <w:sz w:val="22"/>
          <w:szCs w:val="22"/>
        </w:rPr>
        <w:t xml:space="preserve"> SHA-256 is commonly used in digital signatures, certificate generation, and blockchain technologies due to its robust security profile. SHA-256 uses random number generation to ensure each has</w:t>
      </w:r>
      <w:r w:rsidRPr="5B88C92D" w:rsidR="5F1EE128">
        <w:rPr>
          <w:rFonts w:eastAsia="Times New Roman"/>
          <w:sz w:val="22"/>
          <w:szCs w:val="22"/>
        </w:rPr>
        <w:t xml:space="preserve">h value is unique. SHA-256 is not reversible – it is a one-way function. This means that, while you </w:t>
      </w:r>
      <w:r w:rsidRPr="5B88C92D" w:rsidR="78F59A39">
        <w:rPr>
          <w:rFonts w:eastAsia="Times New Roman"/>
          <w:sz w:val="22"/>
          <w:szCs w:val="22"/>
        </w:rPr>
        <w:t>can generate a hash from an input, you cannot retrieve the original input from the hash.</w:t>
      </w:r>
      <w:r w:rsidRPr="5B88C92D" w:rsidR="4257DB03">
        <w:rPr>
          <w:rFonts w:eastAsia="Times New Roman"/>
          <w:sz w:val="22"/>
          <w:szCs w:val="22"/>
        </w:rPr>
        <w:t xml:space="preserve"> (Katz &amp; Lindell, 2020)</w:t>
      </w:r>
      <w:r w:rsidRPr="5B88C92D" w:rsidR="78F59A39">
        <w:rPr>
          <w:rFonts w:eastAsia="Times New Roman"/>
          <w:sz w:val="22"/>
          <w:szCs w:val="22"/>
        </w:rPr>
        <w:t xml:space="preserve"> Introduced in 2001, SHA-256 has become a widely used and trusted hashing algor</w:t>
      </w:r>
      <w:r w:rsidRPr="5B88C92D" w:rsidR="7CBDE4E3">
        <w:rPr>
          <w:rFonts w:eastAsia="Times New Roman"/>
          <w:sz w:val="22"/>
          <w:szCs w:val="22"/>
        </w:rPr>
        <w:t>ithm and is an excellent choice for Artemis Financial.</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002778D5" w:rsidP="5B88C92D" w:rsidRDefault="00DB5652" w14:paraId="1A30C4D3" w14:textId="11214D1D">
      <w:pPr>
        <w:pStyle w:val="Normal"/>
        <w:spacing/>
        <w:contextualSpacing/>
        <w:rPr>
          <w:rFonts w:eastAsia="Times New Roman" w:cs="Calibri" w:cstheme="minorAscii"/>
          <w:sz w:val="22"/>
          <w:szCs w:val="22"/>
        </w:rPr>
      </w:pPr>
      <w:r w:rsidR="15E97F23">
        <w:drawing>
          <wp:inline wp14:editId="501254A9" wp14:anchorId="64DD08D9">
            <wp:extent cx="5219700" cy="3789302"/>
            <wp:effectExtent l="0" t="0" r="0" b="0"/>
            <wp:docPr id="2119072704" name="" title=""/>
            <wp:cNvGraphicFramePr>
              <a:graphicFrameLocks noChangeAspect="1"/>
            </wp:cNvGraphicFramePr>
            <a:graphic>
              <a:graphicData uri="http://schemas.openxmlformats.org/drawingml/2006/picture">
                <pic:pic>
                  <pic:nvPicPr>
                    <pic:cNvPr id="0" name=""/>
                    <pic:cNvPicPr/>
                  </pic:nvPicPr>
                  <pic:blipFill>
                    <a:blip r:embed="R205895bece6c42b7">
                      <a:extLst>
                        <a:ext xmlns:a="http://schemas.openxmlformats.org/drawingml/2006/main" uri="{28A0092B-C50C-407E-A947-70E740481C1C}">
                          <a14:useLocalDpi val="0"/>
                        </a:ext>
                      </a:extLst>
                    </a:blip>
                    <a:stretch>
                      <a:fillRect/>
                    </a:stretch>
                  </pic:blipFill>
                  <pic:spPr>
                    <a:xfrm>
                      <a:off x="0" y="0"/>
                      <a:ext cx="5219700" cy="3789302"/>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Pr="00B7788F" w:rsidR="00DB5652" w:rsidP="5B88C92D" w:rsidRDefault="00DB5652" w14:paraId="6BA341E9" w14:textId="614216E1">
      <w:pPr>
        <w:pStyle w:val="Normal"/>
        <w:spacing/>
        <w:contextualSpacing/>
        <w:rPr>
          <w:rFonts w:cs="Calibri" w:cstheme="minorAscii"/>
          <w:sz w:val="22"/>
          <w:szCs w:val="22"/>
        </w:rPr>
      </w:pPr>
      <w:r w:rsidR="06ADF847">
        <w:drawing>
          <wp:inline wp14:editId="0CD94C94" wp14:anchorId="32331E05">
            <wp:extent cx="5695948" cy="276225"/>
            <wp:effectExtent l="0" t="0" r="0" b="0"/>
            <wp:docPr id="552186924" name="" title=""/>
            <wp:cNvGraphicFramePr>
              <a:graphicFrameLocks noChangeAspect="1"/>
            </wp:cNvGraphicFramePr>
            <a:graphic>
              <a:graphicData uri="http://schemas.openxmlformats.org/drawingml/2006/picture">
                <pic:pic>
                  <pic:nvPicPr>
                    <pic:cNvPr id="0" name=""/>
                    <pic:cNvPicPr/>
                  </pic:nvPicPr>
                  <pic:blipFill>
                    <a:blip r:embed="R851075b6a83c4ace">
                      <a:extLst>
                        <a:ext xmlns:a="http://schemas.openxmlformats.org/drawingml/2006/main" uri="{28A0092B-C50C-407E-A947-70E740481C1C}">
                          <a14:useLocalDpi val="0"/>
                        </a:ext>
                      </a:extLst>
                    </a:blip>
                    <a:stretch>
                      <a:fillRect/>
                    </a:stretch>
                  </pic:blipFill>
                  <pic:spPr>
                    <a:xfrm>
                      <a:off x="0" y="0"/>
                      <a:ext cx="5695948" cy="276225"/>
                    </a:xfrm>
                    <a:prstGeom prst="rect">
                      <a:avLst/>
                    </a:prstGeom>
                  </pic:spPr>
                </pic:pic>
              </a:graphicData>
            </a:graphic>
          </wp:inline>
        </w:drawing>
      </w:r>
    </w:p>
    <w:p w:rsidR="5B88C92D" w:rsidP="5B88C92D" w:rsidRDefault="5B88C92D" w14:paraId="6A48CD88" w14:textId="64086420">
      <w:pPr>
        <w:pStyle w:val="Normal"/>
        <w:spacing/>
        <w:contextualSpacing/>
        <w:rPr>
          <w:rFonts w:cs="Calibri" w:cstheme="minorAsci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000202DE" w:rsidP="5B88C92D" w:rsidRDefault="00DB5652" w14:paraId="51D92974" w14:textId="0BB4B63D">
      <w:pPr>
        <w:pStyle w:val="Normal"/>
        <w:spacing/>
        <w:contextualSpacing/>
        <w:rPr>
          <w:rFonts w:eastAsia="Times New Roman" w:cs="Calibri" w:cstheme="minorAscii"/>
          <w:sz w:val="22"/>
          <w:szCs w:val="22"/>
        </w:rPr>
      </w:pPr>
      <w:r w:rsidR="6A5C1C1D">
        <w:drawing>
          <wp:inline wp14:editId="19A71249" wp14:anchorId="16FE9E0F">
            <wp:extent cx="5943600" cy="1085850"/>
            <wp:effectExtent l="0" t="0" r="0" b="0"/>
            <wp:docPr id="752241742" name="" title=""/>
            <wp:cNvGraphicFramePr>
              <a:graphicFrameLocks noChangeAspect="1"/>
            </wp:cNvGraphicFramePr>
            <a:graphic>
              <a:graphicData uri="http://schemas.openxmlformats.org/drawingml/2006/picture">
                <pic:pic>
                  <pic:nvPicPr>
                    <pic:cNvPr id="0" name=""/>
                    <pic:cNvPicPr/>
                  </pic:nvPicPr>
                  <pic:blipFill>
                    <a:blip r:embed="R99e42e09bfa44638">
                      <a:extLst>
                        <a:ext xmlns:a="http://schemas.openxmlformats.org/drawingml/2006/main" uri="{28A0092B-C50C-407E-A947-70E740481C1C}">
                          <a14:useLocalDpi val="0"/>
                        </a:ext>
                      </a:extLst>
                    </a:blip>
                    <a:stretch>
                      <a:fillRect/>
                    </a:stretch>
                  </pic:blipFill>
                  <pic:spPr>
                    <a:xfrm>
                      <a:off x="0" y="0"/>
                      <a:ext cx="5943600" cy="1085850"/>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00E33862" w:rsidP="5B88C92D" w:rsidRDefault="00DB5652" w14:paraId="7F9143A1" w14:textId="4CA6480D">
      <w:pPr>
        <w:pStyle w:val="Normal"/>
        <w:spacing/>
        <w:contextualSpacing/>
        <w:rPr>
          <w:rFonts w:eastAsia="Times New Roman" w:cs="Calibri" w:cstheme="minorAscii"/>
          <w:sz w:val="22"/>
          <w:szCs w:val="22"/>
        </w:rPr>
      </w:pPr>
      <w:r w:rsidR="51E31E89">
        <w:drawing>
          <wp:inline wp14:editId="462E175D" wp14:anchorId="69CEABFE">
            <wp:extent cx="5943600" cy="4029075"/>
            <wp:effectExtent l="0" t="0" r="0" b="0"/>
            <wp:docPr id="208309289" name="" title=""/>
            <wp:cNvGraphicFramePr>
              <a:graphicFrameLocks noChangeAspect="1"/>
            </wp:cNvGraphicFramePr>
            <a:graphic>
              <a:graphicData uri="http://schemas.openxmlformats.org/drawingml/2006/picture">
                <pic:pic>
                  <pic:nvPicPr>
                    <pic:cNvPr id="0" name=""/>
                    <pic:cNvPicPr/>
                  </pic:nvPicPr>
                  <pic:blipFill>
                    <a:blip r:embed="R299c855fbe414bb8">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r w:rsidR="5DCEDA2A">
        <w:drawing>
          <wp:inline wp14:editId="05E9B09A" wp14:anchorId="1D1CF473">
            <wp:extent cx="5943600" cy="1428750"/>
            <wp:effectExtent l="0" t="0" r="0" b="0"/>
            <wp:docPr id="500809508" name="" title=""/>
            <wp:cNvGraphicFramePr>
              <a:graphicFrameLocks noChangeAspect="1"/>
            </wp:cNvGraphicFramePr>
            <a:graphic>
              <a:graphicData uri="http://schemas.openxmlformats.org/drawingml/2006/picture">
                <pic:pic>
                  <pic:nvPicPr>
                    <pic:cNvPr id="0" name=""/>
                    <pic:cNvPicPr/>
                  </pic:nvPicPr>
                  <pic:blipFill>
                    <a:blip r:embed="Re7aedc5eaf4a4f82">
                      <a:extLst>
                        <a:ext xmlns:a="http://schemas.openxmlformats.org/drawingml/2006/main" uri="{28A0092B-C50C-407E-A947-70E740481C1C}">
                          <a14:useLocalDpi val="0"/>
                        </a:ext>
                      </a:extLst>
                    </a:blip>
                    <a:stretch>
                      <a:fillRect/>
                    </a:stretch>
                  </pic:blipFill>
                  <pic:spPr>
                    <a:xfrm>
                      <a:off x="0" y="0"/>
                      <a:ext cx="5943600" cy="1428750"/>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3BFF62DF" w:rsidP="5B88C92D" w:rsidRDefault="3BFF62DF" w14:paraId="2897F258" w14:textId="48A0DEEC">
      <w:pPr>
        <w:pStyle w:val="Normal"/>
        <w:spacing/>
        <w:contextualSpacing/>
        <w:rPr>
          <w:rFonts w:eastAsia="Times New Roman" w:cs="Calibri" w:cstheme="minorAscii"/>
          <w:sz w:val="22"/>
          <w:szCs w:val="22"/>
        </w:rPr>
      </w:pPr>
      <w:r w:rsidR="3BFF62DF">
        <w:drawing>
          <wp:inline wp14:editId="53A45B33" wp14:anchorId="69F49951">
            <wp:extent cx="5943600" cy="1524000"/>
            <wp:effectExtent l="0" t="0" r="0" b="0"/>
            <wp:docPr id="1045668465" name="" title=""/>
            <wp:cNvGraphicFramePr>
              <a:graphicFrameLocks noChangeAspect="1"/>
            </wp:cNvGraphicFramePr>
            <a:graphic>
              <a:graphicData uri="http://schemas.openxmlformats.org/drawingml/2006/picture">
                <pic:pic>
                  <pic:nvPicPr>
                    <pic:cNvPr id="0" name=""/>
                    <pic:cNvPicPr/>
                  </pic:nvPicPr>
                  <pic:blipFill>
                    <a:blip r:embed="Rb33aee78cdfe435d">
                      <a:extLst>
                        <a:ext xmlns:a="http://schemas.openxmlformats.org/drawingml/2006/main" uri="{28A0092B-C50C-407E-A947-70E740481C1C}">
                          <a14:useLocalDpi val="0"/>
                        </a:ext>
                      </a:extLst>
                    </a:blip>
                    <a:stretch>
                      <a:fillRect/>
                    </a:stretch>
                  </pic:blipFill>
                  <pic:spPr>
                    <a:xfrm>
                      <a:off x="0" y="0"/>
                      <a:ext cx="5943600" cy="1524000"/>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20D193F" w:rsidP="5B88C92D" w:rsidRDefault="00DB5652" w14:paraId="0624AD01" w14:textId="30BEFF2E">
      <w:pPr>
        <w:spacing w:line="480" w:lineRule="auto"/>
        <w:contextualSpacing/>
        <w:rPr>
          <w:rFonts w:eastAsia="Times New Roman"/>
          <w:sz w:val="22"/>
          <w:szCs w:val="22"/>
        </w:rPr>
      </w:pPr>
      <w:r w:rsidRPr="5B88C92D" w:rsidR="17C19B49">
        <w:rPr>
          <w:rFonts w:eastAsia="Times New Roman"/>
          <w:sz w:val="22"/>
          <w:szCs w:val="22"/>
        </w:rPr>
        <w:t xml:space="preserve">In this project, I refactored Artemis Financials' software to enhance security and meet </w:t>
      </w:r>
      <w:r w:rsidRPr="5B88C92D" w:rsidR="73844A65">
        <w:rPr>
          <w:rFonts w:eastAsia="Times New Roman"/>
          <w:sz w:val="22"/>
          <w:szCs w:val="22"/>
        </w:rPr>
        <w:t>industry</w:t>
      </w:r>
      <w:r w:rsidRPr="5B88C92D" w:rsidR="17C19B49">
        <w:rPr>
          <w:rFonts w:eastAsia="Times New Roman"/>
          <w:sz w:val="22"/>
          <w:szCs w:val="22"/>
        </w:rPr>
        <w:t>-standard protocols. Key improvements included implemen</w:t>
      </w:r>
      <w:r w:rsidRPr="5B88C92D" w:rsidR="1C11C33E">
        <w:rPr>
          <w:rFonts w:eastAsia="Times New Roman"/>
          <w:sz w:val="22"/>
          <w:szCs w:val="22"/>
        </w:rPr>
        <w:t>ting SHA-256 has</w:t>
      </w:r>
      <w:r w:rsidRPr="5B88C92D" w:rsidR="63A9F191">
        <w:rPr>
          <w:rFonts w:eastAsia="Times New Roman"/>
          <w:sz w:val="22"/>
          <w:szCs w:val="22"/>
        </w:rPr>
        <w:t xml:space="preserve">hing for data integrity verification and securing communications via HTTPS with a self-signed certificate. The application was configured to </w:t>
      </w:r>
      <w:r w:rsidRPr="5B88C92D" w:rsidR="63A9F191">
        <w:rPr>
          <w:rFonts w:eastAsia="Times New Roman"/>
          <w:sz w:val="22"/>
          <w:szCs w:val="22"/>
        </w:rPr>
        <w:t>operate</w:t>
      </w:r>
      <w:r w:rsidRPr="5B88C92D" w:rsidR="63A9F191">
        <w:rPr>
          <w:rFonts w:eastAsia="Times New Roman"/>
          <w:sz w:val="22"/>
          <w:szCs w:val="22"/>
        </w:rPr>
        <w:t xml:space="preserve"> on port 8443 using SSL/TLS</w:t>
      </w:r>
      <w:r w:rsidRPr="5B88C92D" w:rsidR="63A9F191">
        <w:rPr>
          <w:rFonts w:eastAsia="Times New Roman"/>
          <w:sz w:val="22"/>
          <w:szCs w:val="22"/>
        </w:rPr>
        <w:t>, ensuring</w:t>
      </w:r>
      <w:r w:rsidRPr="5B88C92D" w:rsidR="63A9F191">
        <w:rPr>
          <w:rFonts w:eastAsia="Times New Roman"/>
          <w:sz w:val="22"/>
          <w:szCs w:val="22"/>
        </w:rPr>
        <w:t xml:space="preserve"> </w:t>
      </w:r>
      <w:r w:rsidRPr="5B88C92D" w:rsidR="053CE535">
        <w:rPr>
          <w:rFonts w:eastAsia="Times New Roman"/>
          <w:sz w:val="22"/>
          <w:szCs w:val="22"/>
        </w:rPr>
        <w:t>encrypted communications. By adding checksum verification and securing data transmissions, the application now offers enhanced protection for sensitive financial information.</w:t>
      </w:r>
    </w:p>
    <w:p w:rsidR="053CE535" w:rsidP="5B88C92D" w:rsidRDefault="053CE535" w14:paraId="55CA4DBC" w14:textId="45041716">
      <w:pPr>
        <w:spacing w:line="480" w:lineRule="auto"/>
        <w:contextualSpacing/>
        <w:rPr>
          <w:rFonts w:eastAsia="Times New Roman"/>
          <w:sz w:val="22"/>
          <w:szCs w:val="22"/>
        </w:rPr>
      </w:pPr>
      <w:r w:rsidRPr="5B88C92D" w:rsidR="053CE535">
        <w:rPr>
          <w:rFonts w:eastAsia="Times New Roman"/>
          <w:sz w:val="22"/>
          <w:szCs w:val="22"/>
        </w:rPr>
        <w:t xml:space="preserve">To ensure software adhered to secure coding standards, I updated critical dependencies such as Jackson Core and Jackson </w:t>
      </w:r>
      <w:r w:rsidRPr="5B88C92D" w:rsidR="053CE535">
        <w:rPr>
          <w:rFonts w:eastAsia="Times New Roman"/>
          <w:sz w:val="22"/>
          <w:szCs w:val="22"/>
        </w:rPr>
        <w:t>Databind</w:t>
      </w:r>
      <w:r w:rsidRPr="5B88C92D" w:rsidR="053CE535">
        <w:rPr>
          <w:rFonts w:eastAsia="Times New Roman"/>
          <w:sz w:val="22"/>
          <w:szCs w:val="22"/>
        </w:rPr>
        <w:t xml:space="preserve"> to their latest versions; addressing known vulnerabilities. Addit</w:t>
      </w:r>
      <w:r w:rsidRPr="5B88C92D" w:rsidR="576C1A3C">
        <w:rPr>
          <w:rFonts w:eastAsia="Times New Roman"/>
          <w:sz w:val="22"/>
          <w:szCs w:val="22"/>
        </w:rPr>
        <w:t xml:space="preserve">ionally, a suppression file was created to handle false positives in OWASP dependency-check reports. This allowed the application to </w:t>
      </w:r>
      <w:r w:rsidRPr="5B88C92D" w:rsidR="576C1A3C">
        <w:rPr>
          <w:rFonts w:eastAsia="Times New Roman"/>
          <w:sz w:val="22"/>
          <w:szCs w:val="22"/>
        </w:rPr>
        <w:t>remain</w:t>
      </w:r>
      <w:r w:rsidRPr="5B88C92D" w:rsidR="576C1A3C">
        <w:rPr>
          <w:rFonts w:eastAsia="Times New Roman"/>
          <w:sz w:val="22"/>
          <w:szCs w:val="22"/>
        </w:rPr>
        <w:t xml:space="preserve"> free from unnecessary vulnerability warnings, while a thorough review ens</w:t>
      </w:r>
      <w:r w:rsidRPr="5B88C92D" w:rsidR="4075BD9D">
        <w:rPr>
          <w:rFonts w:eastAsia="Times New Roman"/>
          <w:sz w:val="22"/>
          <w:szCs w:val="22"/>
        </w:rPr>
        <w:t>ured that no new vulnerabilities were introduced during the refactoring process.</w:t>
      </w:r>
    </w:p>
    <w:p w:rsidR="4075BD9D" w:rsidP="5B88C92D" w:rsidRDefault="4075BD9D" w14:paraId="6D50DC41" w14:textId="0F43B789">
      <w:pPr>
        <w:spacing w:line="480" w:lineRule="auto"/>
        <w:contextualSpacing/>
        <w:rPr>
          <w:rFonts w:eastAsia="Times New Roman"/>
          <w:sz w:val="22"/>
          <w:szCs w:val="22"/>
        </w:rPr>
      </w:pPr>
      <w:r w:rsidRPr="5B88C92D" w:rsidR="4075BD9D">
        <w:rPr>
          <w:rFonts w:eastAsia="Times New Roman"/>
          <w:sz w:val="22"/>
          <w:szCs w:val="22"/>
        </w:rPr>
        <w:t>The refactoring focused on three primary areas: cryptographic protections, secure communications, and dependency management. By adding multiple layers of security, including checksum validation and encryption, the application is now more re</w:t>
      </w:r>
      <w:r w:rsidRPr="5B88C92D" w:rsidR="5EF1C986">
        <w:rPr>
          <w:rFonts w:eastAsia="Times New Roman"/>
          <w:sz w:val="22"/>
          <w:szCs w:val="22"/>
        </w:rPr>
        <w:t xml:space="preserve">sistant to data </w:t>
      </w:r>
      <w:r w:rsidRPr="5B88C92D" w:rsidR="5EF1C986">
        <w:rPr>
          <w:rFonts w:eastAsia="Times New Roman"/>
          <w:sz w:val="22"/>
          <w:szCs w:val="22"/>
        </w:rPr>
        <w:t>breaches</w:t>
      </w:r>
      <w:r w:rsidRPr="5B88C92D" w:rsidR="5EF1C986">
        <w:rPr>
          <w:rFonts w:eastAsia="Times New Roman"/>
          <w:sz w:val="22"/>
          <w:szCs w:val="22"/>
        </w:rPr>
        <w:t xml:space="preserve"> and attacks.</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5B88C92D" w:rsidP="5B88C92D" w:rsidRDefault="5B88C92D" w14:paraId="23208F21" w14:textId="7078E41F">
      <w:pPr>
        <w:pStyle w:val="Normal"/>
        <w:spacing/>
        <w:contextualSpacing/>
        <w:rPr>
          <w:rFonts w:eastAsia="Times New Roman"/>
          <w:sz w:val="22"/>
          <w:szCs w:val="22"/>
        </w:rPr>
      </w:pPr>
    </w:p>
    <w:p w:rsidR="6919587A" w:rsidP="5B88C92D" w:rsidRDefault="6919587A" w14:paraId="361F2590" w14:textId="5F303369">
      <w:pPr>
        <w:spacing w:before="240" w:beforeAutospacing="off" w:after="240" w:afterAutospacing="off" w:line="480" w:lineRule="auto"/>
        <w:ind w:firstLine="720"/>
        <w:rPr>
          <w:rFonts w:ascii="Calibri" w:hAnsi="Calibri" w:eastAsia="Calibri" w:cs="Calibri"/>
          <w:noProof w:val="0"/>
          <w:sz w:val="22"/>
          <w:szCs w:val="22"/>
          <w:lang w:val="en-US"/>
        </w:rPr>
      </w:pPr>
      <w:r w:rsidRPr="5B88C92D" w:rsidR="6919587A">
        <w:rPr>
          <w:rFonts w:ascii="Calibri" w:hAnsi="Calibri" w:eastAsia="Calibri" w:cs="Calibri"/>
          <w:noProof w:val="0"/>
          <w:sz w:val="22"/>
          <w:szCs w:val="22"/>
          <w:lang w:val="en-US"/>
        </w:rPr>
        <w:t xml:space="preserve">In this project, I applied industry-standard best practices for secure coding to mitigate known security vulnerabilities and ensure the ongoing safety of the software application. Key practices included using SHA-256 for data verification, enforcing secure communication through HTTPS, and regularly updating third-party dependencies like Jackson to patch known vulnerabilities. I also employed the OWASP dependency-check tool to </w:t>
      </w:r>
      <w:r w:rsidRPr="5B88C92D" w:rsidR="6919587A">
        <w:rPr>
          <w:rFonts w:ascii="Calibri" w:hAnsi="Calibri" w:eastAsia="Calibri" w:cs="Calibri"/>
          <w:noProof w:val="0"/>
          <w:sz w:val="22"/>
          <w:szCs w:val="22"/>
          <w:lang w:val="en-US"/>
        </w:rPr>
        <w:t>identify</w:t>
      </w:r>
      <w:r w:rsidRPr="5B88C92D" w:rsidR="6919587A">
        <w:rPr>
          <w:rFonts w:ascii="Calibri" w:hAnsi="Calibri" w:eastAsia="Calibri" w:cs="Calibri"/>
          <w:noProof w:val="0"/>
          <w:sz w:val="22"/>
          <w:szCs w:val="22"/>
          <w:lang w:val="en-US"/>
        </w:rPr>
        <w:t xml:space="preserve"> and suppress false positives, ensuring that only legitimate vulnerabilities were addressed. These practices are essential for preventing potential exploits and </w:t>
      </w:r>
      <w:r w:rsidRPr="5B88C92D" w:rsidR="6919587A">
        <w:rPr>
          <w:rFonts w:ascii="Calibri" w:hAnsi="Calibri" w:eastAsia="Calibri" w:cs="Calibri"/>
          <w:noProof w:val="0"/>
          <w:sz w:val="22"/>
          <w:szCs w:val="22"/>
          <w:lang w:val="en-US"/>
        </w:rPr>
        <w:t>maintaining</w:t>
      </w:r>
      <w:r w:rsidRPr="5B88C92D" w:rsidR="6919587A">
        <w:rPr>
          <w:rFonts w:ascii="Calibri" w:hAnsi="Calibri" w:eastAsia="Calibri" w:cs="Calibri"/>
          <w:noProof w:val="0"/>
          <w:sz w:val="22"/>
          <w:szCs w:val="22"/>
          <w:lang w:val="en-US"/>
        </w:rPr>
        <w:t xml:space="preserve"> the software’s integrity in an evolving security landscape.</w:t>
      </w:r>
    </w:p>
    <w:p w:rsidR="6919587A" w:rsidP="5B88C92D" w:rsidRDefault="6919587A" w14:paraId="5FAB7785" w14:textId="4711B6AD">
      <w:pPr>
        <w:spacing w:before="240" w:beforeAutospacing="off" w:after="240" w:afterAutospacing="off" w:line="480" w:lineRule="auto"/>
        <w:ind w:firstLine="720"/>
        <w:rPr>
          <w:rFonts w:ascii="Calibri" w:hAnsi="Calibri" w:eastAsia="Calibri" w:cs="Calibri"/>
          <w:noProof w:val="0"/>
          <w:sz w:val="22"/>
          <w:szCs w:val="22"/>
          <w:lang w:val="en-US"/>
        </w:rPr>
      </w:pPr>
      <w:r w:rsidRPr="5B88C92D" w:rsidR="6919587A">
        <w:rPr>
          <w:rFonts w:ascii="Calibri" w:hAnsi="Calibri" w:eastAsia="Calibri" w:cs="Calibri"/>
          <w:noProof w:val="0"/>
          <w:sz w:val="22"/>
          <w:szCs w:val="22"/>
          <w:lang w:val="en-US"/>
        </w:rPr>
        <w:t xml:space="preserve">Applying secure coding practices not only strengthens the application’s defenses against attacks but also enhances the company’s overall well-being by protecting sensitive financial data. By adhering to industry standards, such as using modern encryption methods and regularly updating libraries, the application is better equipped to handle emerging threats. This proactive approach not only reduces the risk of data breaches but also builds trust with clients by </w:t>
      </w:r>
      <w:r w:rsidRPr="5B88C92D" w:rsidR="6919587A">
        <w:rPr>
          <w:rFonts w:ascii="Calibri" w:hAnsi="Calibri" w:eastAsia="Calibri" w:cs="Calibri"/>
          <w:noProof w:val="0"/>
          <w:sz w:val="22"/>
          <w:szCs w:val="22"/>
          <w:lang w:val="en-US"/>
        </w:rPr>
        <w:t>demonstrating</w:t>
      </w:r>
      <w:r w:rsidRPr="5B88C92D" w:rsidR="6919587A">
        <w:rPr>
          <w:rFonts w:ascii="Calibri" w:hAnsi="Calibri" w:eastAsia="Calibri" w:cs="Calibri"/>
          <w:noProof w:val="0"/>
          <w:sz w:val="22"/>
          <w:szCs w:val="22"/>
          <w:lang w:val="en-US"/>
        </w:rPr>
        <w:t xml:space="preserve"> a strong commitment to safeguarding their information.</w:t>
      </w:r>
    </w:p>
    <w:p w:rsidR="5B88C92D" w:rsidP="5B88C92D" w:rsidRDefault="5B88C92D" w14:paraId="46159E7F" w14:textId="0F46E73A">
      <w:pPr>
        <w:pStyle w:val="Normal"/>
        <w:spacing/>
        <w:contextualSpacing/>
        <w:rPr>
          <w:rFonts w:eastAsia="Times New Roman"/>
          <w:sz w:val="22"/>
          <w:szCs w:val="22"/>
        </w:rPr>
      </w:pPr>
    </w:p>
    <w:p w:rsidR="5B88C92D" w:rsidP="5B88C92D" w:rsidRDefault="5B88C92D" w14:paraId="642A37C4" w14:textId="4714B9A6">
      <w:pPr>
        <w:spacing/>
        <w:contextualSpacing/>
        <w:rPr>
          <w:rFonts w:eastAsia="Times New Roman"/>
          <w:sz w:val="22"/>
          <w:szCs w:val="22"/>
        </w:rPr>
      </w:pPr>
    </w:p>
    <w:p w:rsidR="53DA52BA" w:rsidP="5B88C92D" w:rsidRDefault="53DA52BA" w14:paraId="628927F5" w14:textId="4F10A393">
      <w:pPr>
        <w:spacing/>
        <w:contextualSpacing/>
        <w:rPr>
          <w:rFonts w:eastAsia="Times New Roman"/>
          <w:sz w:val="22"/>
          <w:szCs w:val="22"/>
        </w:rPr>
      </w:pPr>
      <w:r w:rsidRPr="5B88C92D" w:rsidR="53DA52BA">
        <w:rPr>
          <w:rFonts w:eastAsia="Times New Roman"/>
          <w:sz w:val="22"/>
          <w:szCs w:val="22"/>
        </w:rPr>
        <w:t>REFERENCES:</w:t>
      </w:r>
    </w:p>
    <w:p w:rsidR="5B88C92D" w:rsidP="5B88C92D" w:rsidRDefault="5B88C92D" w14:paraId="41AB44EE" w14:textId="16C9EBCC">
      <w:pPr>
        <w:spacing/>
        <w:contextualSpacing/>
        <w:rPr>
          <w:rFonts w:eastAsia="Times New Roman"/>
          <w:sz w:val="22"/>
          <w:szCs w:val="22"/>
        </w:rPr>
      </w:pPr>
    </w:p>
    <w:p w:rsidR="53DA52BA" w:rsidP="5B88C92D" w:rsidRDefault="53DA52BA" w14:paraId="6E62BAD4" w14:textId="5BFDAF65">
      <w:pPr>
        <w:pStyle w:val="Normal"/>
        <w:spacing/>
        <w:contextualSpacing/>
      </w:pPr>
      <w:r w:rsidRPr="5B88C92D" w:rsidR="53DA52BA">
        <w:rPr>
          <w:rFonts w:ascii="Calibri" w:hAnsi="Calibri" w:eastAsia="Calibri" w:cs="Calibri"/>
          <w:noProof w:val="0"/>
          <w:sz w:val="22"/>
          <w:szCs w:val="22"/>
          <w:lang w:val="en-US"/>
        </w:rPr>
        <w:t xml:space="preserve">Katz, J., &amp; Lindell, Y. (2020). </w:t>
      </w:r>
      <w:r w:rsidRPr="5B88C92D" w:rsidR="53DA52BA">
        <w:rPr>
          <w:rFonts w:ascii="Calibri" w:hAnsi="Calibri" w:eastAsia="Calibri" w:cs="Calibri"/>
          <w:i w:val="1"/>
          <w:iCs w:val="1"/>
          <w:noProof w:val="0"/>
          <w:sz w:val="22"/>
          <w:szCs w:val="22"/>
          <w:lang w:val="en-US"/>
        </w:rPr>
        <w:t>Introduction to Modern Cryptography</w:t>
      </w:r>
      <w:r w:rsidRPr="5B88C92D" w:rsidR="53DA52BA">
        <w:rPr>
          <w:rFonts w:ascii="Calibri" w:hAnsi="Calibri" w:eastAsia="Calibri" w:cs="Calibri"/>
          <w:noProof w:val="0"/>
          <w:sz w:val="22"/>
          <w:szCs w:val="22"/>
          <w:lang w:val="en-US"/>
        </w:rPr>
        <w:t xml:space="preserve"> (3rd ed.). CRC Press.</w:t>
      </w:r>
    </w:p>
    <w:p w:rsidR="5B88C92D" w:rsidP="5B88C92D" w:rsidRDefault="5B88C92D" w14:paraId="798D97B3" w14:textId="0AEFBE8A">
      <w:pPr>
        <w:pStyle w:val="Normal"/>
        <w:spacing/>
        <w:contextualSpacing/>
        <w:rPr>
          <w:rFonts w:ascii="Calibri" w:hAnsi="Calibri" w:eastAsia="Calibri" w:cs="Calibri"/>
          <w:noProof w:val="0"/>
          <w:sz w:val="22"/>
          <w:szCs w:val="22"/>
          <w:lang w:val="en-US"/>
        </w:rPr>
      </w:pPr>
    </w:p>
    <w:p w:rsidR="53DA52BA" w:rsidP="5B88C92D" w:rsidRDefault="53DA52BA" w14:paraId="33312B9C" w14:textId="26965543">
      <w:pPr>
        <w:pStyle w:val="Normal"/>
        <w:spacing/>
        <w:contextualSpacing/>
        <w:rPr>
          <w:rFonts w:ascii="Calibri" w:hAnsi="Calibri" w:eastAsia="Calibri" w:cs="Calibri"/>
          <w:noProof w:val="0"/>
          <w:sz w:val="22"/>
          <w:szCs w:val="22"/>
          <w:lang w:val="en-US"/>
        </w:rPr>
      </w:pPr>
      <w:r w:rsidRPr="5B88C92D" w:rsidR="53DA52BA">
        <w:rPr>
          <w:rFonts w:ascii="Calibri" w:hAnsi="Calibri" w:eastAsia="Calibri" w:cs="Calibri"/>
          <w:noProof w:val="0"/>
          <w:sz w:val="22"/>
          <w:szCs w:val="22"/>
          <w:lang w:val="en-US"/>
        </w:rPr>
        <w:t xml:space="preserve">National Institute of Standards and Technology (NIST). (2012). </w:t>
      </w:r>
      <w:r w:rsidRPr="5B88C92D" w:rsidR="53DA52BA">
        <w:rPr>
          <w:rFonts w:ascii="Calibri" w:hAnsi="Calibri" w:eastAsia="Calibri" w:cs="Calibri"/>
          <w:i w:val="1"/>
          <w:iCs w:val="1"/>
          <w:noProof w:val="0"/>
          <w:sz w:val="22"/>
          <w:szCs w:val="22"/>
          <w:lang w:val="en-US"/>
        </w:rPr>
        <w:t>SHA-256 Secure Hash Algorithm</w:t>
      </w:r>
      <w:r w:rsidRPr="5B88C92D" w:rsidR="53DA52BA">
        <w:rPr>
          <w:rFonts w:ascii="Calibri" w:hAnsi="Calibri" w:eastAsia="Calibri" w:cs="Calibri"/>
          <w:noProof w:val="0"/>
          <w:sz w:val="22"/>
          <w:szCs w:val="22"/>
          <w:lang w:val="en-US"/>
        </w:rPr>
        <w:t xml:space="preserve">. </w:t>
      </w:r>
      <w:r>
        <w:tab/>
      </w:r>
      <w:r>
        <w:tab/>
      </w:r>
      <w:hyperlink r:id="R5337718866514aeb">
        <w:r w:rsidRPr="5B88C92D" w:rsidR="53DA52BA">
          <w:rPr>
            <w:rStyle w:val="Hyperlink"/>
            <w:rFonts w:ascii="Calibri" w:hAnsi="Calibri" w:eastAsia="Calibri" w:cs="Calibri"/>
            <w:noProof w:val="0"/>
            <w:sz w:val="22"/>
            <w:szCs w:val="22"/>
            <w:lang w:val="en-US"/>
          </w:rPr>
          <w:t>https://csrc.nist.gov/publications/detail/fips/180-4/final</w:t>
        </w:r>
      </w:hyperlink>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50FB"/>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3788F"/>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53CE535"/>
    <w:rsid w:val="06ADF847"/>
    <w:rsid w:val="0ECB53A8"/>
    <w:rsid w:val="11D15F73"/>
    <w:rsid w:val="1463751E"/>
    <w:rsid w:val="14B066A7"/>
    <w:rsid w:val="15E97F23"/>
    <w:rsid w:val="17C19B49"/>
    <w:rsid w:val="18545CED"/>
    <w:rsid w:val="18710DB3"/>
    <w:rsid w:val="1936F166"/>
    <w:rsid w:val="195DB78F"/>
    <w:rsid w:val="19620227"/>
    <w:rsid w:val="198A2532"/>
    <w:rsid w:val="1C11C33E"/>
    <w:rsid w:val="1D79CB4A"/>
    <w:rsid w:val="1E4BD2B1"/>
    <w:rsid w:val="1FA2FC07"/>
    <w:rsid w:val="1FCCF913"/>
    <w:rsid w:val="2168C974"/>
    <w:rsid w:val="21FAE474"/>
    <w:rsid w:val="2346CCA9"/>
    <w:rsid w:val="236039E6"/>
    <w:rsid w:val="275A6BDC"/>
    <w:rsid w:val="27F0484E"/>
    <w:rsid w:val="28020B13"/>
    <w:rsid w:val="28ED3F6C"/>
    <w:rsid w:val="2A6E5A4E"/>
    <w:rsid w:val="2A875570"/>
    <w:rsid w:val="2BB1C59E"/>
    <w:rsid w:val="2C86A554"/>
    <w:rsid w:val="2CB369A1"/>
    <w:rsid w:val="2E5D5C8F"/>
    <w:rsid w:val="2F43C643"/>
    <w:rsid w:val="2FA9899F"/>
    <w:rsid w:val="30A2BF11"/>
    <w:rsid w:val="310E96EA"/>
    <w:rsid w:val="329BBDBD"/>
    <w:rsid w:val="3322AB25"/>
    <w:rsid w:val="347D29E8"/>
    <w:rsid w:val="35227F51"/>
    <w:rsid w:val="35D35E7F"/>
    <w:rsid w:val="35EA7C25"/>
    <w:rsid w:val="39D46633"/>
    <w:rsid w:val="3AE22101"/>
    <w:rsid w:val="3BC013C1"/>
    <w:rsid w:val="3BFF62DF"/>
    <w:rsid w:val="3C796F06"/>
    <w:rsid w:val="3DD92BB3"/>
    <w:rsid w:val="4007FAAC"/>
    <w:rsid w:val="4075BD9D"/>
    <w:rsid w:val="4257DB03"/>
    <w:rsid w:val="42CB5437"/>
    <w:rsid w:val="439ED118"/>
    <w:rsid w:val="44136985"/>
    <w:rsid w:val="45276B1C"/>
    <w:rsid w:val="454174DB"/>
    <w:rsid w:val="47B67C90"/>
    <w:rsid w:val="47F056AF"/>
    <w:rsid w:val="4814C739"/>
    <w:rsid w:val="48E6DAA8"/>
    <w:rsid w:val="4A82AB09"/>
    <w:rsid w:val="4C32D234"/>
    <w:rsid w:val="4DAA9AC2"/>
    <w:rsid w:val="4E510242"/>
    <w:rsid w:val="4EDBA3EF"/>
    <w:rsid w:val="5018F677"/>
    <w:rsid w:val="51391587"/>
    <w:rsid w:val="51E31E89"/>
    <w:rsid w:val="53DA52BA"/>
    <w:rsid w:val="56954D80"/>
    <w:rsid w:val="56BF07C1"/>
    <w:rsid w:val="56EDC1EC"/>
    <w:rsid w:val="576C1A3C"/>
    <w:rsid w:val="5A02075A"/>
    <w:rsid w:val="5B587107"/>
    <w:rsid w:val="5B88C92D"/>
    <w:rsid w:val="5B95489A"/>
    <w:rsid w:val="5CD57E70"/>
    <w:rsid w:val="5DCEDA2A"/>
    <w:rsid w:val="5DD73C14"/>
    <w:rsid w:val="5EF1C986"/>
    <w:rsid w:val="5F1EE128"/>
    <w:rsid w:val="60235897"/>
    <w:rsid w:val="604FE896"/>
    <w:rsid w:val="608DA6E8"/>
    <w:rsid w:val="620D193F"/>
    <w:rsid w:val="6292A5E1"/>
    <w:rsid w:val="62E6EED4"/>
    <w:rsid w:val="631D6905"/>
    <w:rsid w:val="63A9F191"/>
    <w:rsid w:val="663530E6"/>
    <w:rsid w:val="67F90606"/>
    <w:rsid w:val="681DCBB2"/>
    <w:rsid w:val="68BCA4D6"/>
    <w:rsid w:val="6919587A"/>
    <w:rsid w:val="6931F958"/>
    <w:rsid w:val="69DDBFCF"/>
    <w:rsid w:val="69EDBCD2"/>
    <w:rsid w:val="6A5C1C1D"/>
    <w:rsid w:val="6A836531"/>
    <w:rsid w:val="6B33E418"/>
    <w:rsid w:val="6C28231D"/>
    <w:rsid w:val="6D4E6B20"/>
    <w:rsid w:val="6F189223"/>
    <w:rsid w:val="6F5BB9D2"/>
    <w:rsid w:val="7101F37A"/>
    <w:rsid w:val="719B0403"/>
    <w:rsid w:val="73844A65"/>
    <w:rsid w:val="739D5EAB"/>
    <w:rsid w:val="7674FB81"/>
    <w:rsid w:val="783D8A15"/>
    <w:rsid w:val="78F59A39"/>
    <w:rsid w:val="7AA95D77"/>
    <w:rsid w:val="7AE71252"/>
    <w:rsid w:val="7C567870"/>
    <w:rsid w:val="7CBDE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205895bece6c42b7" /><Relationship Type="http://schemas.openxmlformats.org/officeDocument/2006/relationships/image" Target="/media/image4.png" Id="R851075b6a83c4ace" /><Relationship Type="http://schemas.openxmlformats.org/officeDocument/2006/relationships/image" Target="/media/image5.png" Id="R99e42e09bfa44638" /><Relationship Type="http://schemas.openxmlformats.org/officeDocument/2006/relationships/image" Target="/media/image6.png" Id="R299c855fbe414bb8" /><Relationship Type="http://schemas.openxmlformats.org/officeDocument/2006/relationships/image" Target="/media/image7.png" Id="Re7aedc5eaf4a4f82" /><Relationship Type="http://schemas.openxmlformats.org/officeDocument/2006/relationships/image" Target="/media/image8.png" Id="Rb33aee78cdfe435d" /><Relationship Type="http://schemas.openxmlformats.org/officeDocument/2006/relationships/hyperlink" Target="https://csrc.nist.gov/publications/detail/fips/180-4/final" TargetMode="External" Id="R5337718866514a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Moews, August</lastModifiedBy>
  <revision>52</revision>
  <dcterms:created xsi:type="dcterms:W3CDTF">2022-04-20T12:43:00.0000000Z</dcterms:created>
  <dcterms:modified xsi:type="dcterms:W3CDTF">2024-10-22T20:28:49.1573611Z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