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18"/>
        </w:rPr>
      </w:pPr>
      <w:r>
        <w:rPr>
          <w:sz w:val="24"/>
          <w:szCs w:val="24"/>
        </w:rPr>
        <w:t xml:space="preserve">DATASET related information </w:t>
        <w:br/>
        <w:br/>
        <w:t xml:space="preserve">1) NASDAQ -&gt; </w:t>
      </w:r>
      <w:r>
        <w:rPr>
          <w:sz w:val="24"/>
          <w:szCs w:val="24"/>
        </w:rPr>
        <w:t xml:space="preserve">nasdaq100_futures(22 to 25)</w:t>
      </w:r>
      <w:r>
        <w:rPr>
          <w:sz w:val="24"/>
          <w:szCs w:val="24"/>
        </w:rPr>
        <w:t xml:space="preserve">.csv</w:t>
        <w:br/>
      </w:r>
      <w:r>
        <w:rPr>
          <w:sz w:val="18"/>
          <w:szCs w:val="18"/>
        </w:rPr>
        <w:br/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🔹 Major Companies in NASDAQ-100 (as of 2025)</w:t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Here are the </w:t>
      </w: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big names</w:t>
      </w: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 (top-weighted companies — they dominate the index):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Technology Giants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Apple (AAPL)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Microsoft (MSFT)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Alphabet (GOOGL, GOOG)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Amazon (AMZN)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Meta Platforms (META)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NVIDIA (NVDA)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Tesla (TSLA)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Broadcom (AVGO)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Adobe (ADBE)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Intel (INTC)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Cisco (CSCO)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Consumer &amp; Retail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Costco (COST)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PepsiCo (PEP)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Starbucks (SBUX)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Mondelez (MDLZ)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Biotech &amp; Pharma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Amgen (AMGN)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Gilead Sciences (GILD)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Biogen (BIIB)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Others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Netflix (NFLX)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PayPal (PYPL)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Qualcomm (QCOM)</w:t>
      </w:r>
      <w:r>
        <w:rPr>
          <w:sz w:val="12"/>
          <w:szCs w:val="1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Zoom Video (ZM)</w:t>
      </w:r>
      <w:r>
        <w:rPr>
          <w:sz w:val="12"/>
          <w:szCs w:val="12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🔹 Why Researchers Prefer NASDAQ-100</w:t>
      </w:r>
      <w:r>
        <w:rPr>
          <w:sz w:val="18"/>
          <w:szCs w:val="1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Easier to handle than full NASDAQ Composite.</w:t>
      </w:r>
      <w:r>
        <w:rPr>
          <w:sz w:val="12"/>
          <w:szCs w:val="12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Heavily </w:t>
      </w: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tech-focused → higher volatility</w:t>
      </w: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 (good for testing DL models).</w:t>
      </w:r>
      <w:r>
        <w:rPr>
          <w:sz w:val="12"/>
          <w:szCs w:val="12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Includes world’s most innovative companies → attracts research attention.</w:t>
      </w:r>
      <w:r>
        <w:rPr>
          <w:sz w:val="12"/>
          <w:szCs w:val="12"/>
        </w:rPr>
      </w:r>
    </w:p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  <w:highlight w:val="none"/>
        </w:rPr>
      </w:r>
    </w:p>
    <w:p>
      <w:pPr>
        <w:pBdr/>
        <w:spacing/>
        <w:ind/>
        <w:rPr>
          <w:sz w:val="12"/>
          <w:szCs w:val="12"/>
          <w:highlight w:val="none"/>
        </w:rPr>
      </w:pPr>
      <w:r>
        <w:rPr>
          <w:sz w:val="12"/>
          <w:szCs w:val="12"/>
        </w:rPr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2) LOB dataset (FI-2010)</w:t>
        <w:br/>
      </w:r>
      <w:r>
        <w:rPr>
          <w:color w:val="000000" w:themeColor="text1"/>
          <w:sz w:val="24"/>
          <w:szCs w:val="24"/>
          <w:highlight w:val="none"/>
        </w:rPr>
      </w:r>
      <w:hyperlink r:id="rId9" w:tooltip="https://etsin.fairdata.fi/dataset/73eb48d7-4dbc-4a10-a52a-da745b47a649/data" w:history="1">
        <w:r>
          <w:rPr>
            <w:rStyle w:val="186"/>
            <w:color w:val="000000" w:themeColor="text1"/>
            <w:sz w:val="24"/>
            <w:szCs w:val="24"/>
            <w:highlight w:val="none"/>
          </w:rPr>
          <w:t xml:space="preserve">https://etsin.fairdata.fi/dataset/73eb48d7-4dbc-4a10-a52a-da745b47a649/data</w:t>
        </w:r>
        <w:r>
          <w:rPr>
            <w:rStyle w:val="186"/>
            <w:color w:val="000000" w:themeColor="text1"/>
            <w:sz w:val="24"/>
            <w:szCs w:val="24"/>
            <w:highlight w:val="none"/>
          </w:rPr>
        </w:r>
      </w:hyperlink>
      <w:r>
        <w:rPr>
          <w:sz w:val="12"/>
          <w:szCs w:val="12"/>
          <w:highlight w:val="none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80" w:lineRule="atLeast"/>
        <w:ind w:right="0" w:firstLine="0" w:left="0"/>
        <w:rPr>
          <w:rFonts w:ascii="Arial" w:hAnsi="Arial" w:eastAsia="Arial" w:cs="Arial"/>
          <w:b/>
          <w:bCs/>
          <w:color w:val="202124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202124"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202124"/>
          <w:sz w:val="24"/>
          <w:szCs w:val="2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80" w:lineRule="atLeast"/>
        <w:ind w:right="0" w:firstLine="0" w:left="0"/>
        <w:rPr>
          <w:rFonts w:ascii="Arial" w:hAnsi="Arial" w:eastAsia="Arial" w:cs="Arial"/>
          <w:b/>
          <w:bCs/>
          <w:color w:val="202124"/>
          <w:sz w:val="24"/>
          <w:szCs w:val="24"/>
          <w:highlight w:val="none"/>
        </w:rPr>
      </w:pPr>
      <w:r>
        <w:rPr>
          <w:sz w:val="12"/>
          <w:szCs w:val="12"/>
          <w:highlight w:val="none"/>
        </w:rPr>
      </w:r>
      <w:r>
        <w:rPr>
          <w:b/>
          <w:bCs/>
          <w:color w:val="000000" w:themeColor="text1"/>
          <w:sz w:val="32"/>
          <w:szCs w:val="32"/>
          <w:highlight w:val="none"/>
          <w:u w:val="single"/>
        </w:rPr>
        <w:t xml:space="preserve">Sentiment And news data for financial analysis  </w:t>
        <w:br/>
      </w:r>
      <w:r>
        <w:rPr>
          <w:rFonts w:ascii="Arial" w:hAnsi="Arial" w:eastAsia="Arial" w:cs="Arial"/>
          <w:b/>
          <w:color w:val="202124"/>
          <w:sz w:val="24"/>
          <w:szCs w:val="24"/>
        </w:rPr>
        <w:t xml:space="preserve">3)Stock Tweets for Sentiment Analysis and Prediction</w:t>
        <w:br/>
      </w:r>
      <w:r>
        <w:rPr>
          <w:rFonts w:ascii="Arial" w:hAnsi="Arial" w:eastAsia="Arial" w:cs="Arial"/>
          <w:b/>
          <w:color w:val="202124"/>
          <w:sz w:val="24"/>
          <w:szCs w:val="24"/>
        </w:rPr>
        <w:t xml:space="preserve">https://www.kaggle.com/datasets/equinxx/stock-tweets-for-sentiment-analysis-and-prediction</w:t>
      </w:r>
      <w:r>
        <w:rPr>
          <w:rFonts w:ascii="Arial" w:hAnsi="Arial" w:eastAsia="Arial" w:cs="Arial"/>
          <w:b/>
          <w:bCs/>
          <w:color w:val="202124"/>
          <w:sz w:val="24"/>
          <w:szCs w:val="24"/>
        </w:rPr>
      </w:r>
      <w:r/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4) </w:t>
      </w:r>
      <w:r>
        <w:rPr>
          <w:sz w:val="24"/>
          <w:szCs w:val="24"/>
          <w:highlight w:val="none"/>
        </w:rPr>
      </w:r>
      <w:hyperlink r:id="rId10" w:tooltip="https://www.kaggle.com/datasets/yash612/stockmarket-sentiment-dataset" w:history="1">
        <w:r>
          <w:rPr>
            <w:rStyle w:val="186"/>
            <w:sz w:val="24"/>
            <w:szCs w:val="24"/>
            <w:highlight w:val="none"/>
          </w:rPr>
          <w:t xml:space="preserve">https://www.kaggle.com/datasets/yash612/stockmarket-sentiment-dataset</w:t>
        </w:r>
        <w:r>
          <w:rPr>
            <w:rStyle w:val="186"/>
            <w:sz w:val="24"/>
            <w:szCs w:val="24"/>
            <w:highlight w:val="none"/>
          </w:rPr>
        </w:r>
        <w:r>
          <w:rPr>
            <w:rStyle w:val="186"/>
            <w:sz w:val="24"/>
            <w:szCs w:val="24"/>
            <w:highlight w:val="none"/>
          </w:rPr>
        </w:r>
      </w:hyperlink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5) </w:t>
      </w:r>
      <w:r>
        <w:rPr>
          <w:sz w:val="24"/>
          <w:szCs w:val="24"/>
          <w:highlight w:val="none"/>
        </w:rPr>
        <w:t xml:space="preserve">https://www.kaggle.com/datasets/sbhatti/financial-sentiment-analysis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tsin.fairdata.fi/dataset/73eb48d7-4dbc-4a10-a52a-da745b47a649/data" TargetMode="External"/><Relationship Id="rId10" Type="http://schemas.openxmlformats.org/officeDocument/2006/relationships/hyperlink" Target="https://www.kaggle.com/datasets/yash612/stockmarket-sentiment-datase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2025-09-30T19:37:51Z</dcterms:modified>
</cp:coreProperties>
</file>