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B192C"/>
          <w:sz w:val="44"/>
        </w:rPr>
        <w:t>AMASAMYA: Inclusive Technology &amp; Professional Learning Platform</w:t>
      </w:r>
    </w:p>
    <w:p>
      <w:pPr>
        <w:spacing w:before="0" w:after="280"/>
        <w:jc w:val="left"/>
      </w:pPr>
      <w:r>
        <w:rPr>
          <w:rFonts w:ascii="Segoe UI" w:hAnsi="Segoe UI"/>
          <w:i/>
          <w:color w:val="0072BC"/>
          <w:sz w:val="24"/>
        </w:rPr>
        <w:t>A Strategic Proposal &amp; Master Execution Blueprint for Equal Opportunity in Tech, Language, and Career Empowerment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180" w:type="dxa"/>
              <w:right w:w="180" w:type="dxa"/>
            </w:tcMar>
            <w:tcBorders>
              <w:left w:val="single" w:sz="24" w:space="0" w:color="0072BC"/>
              <w:top w:val="none"/>
              <w:right w:val="none"/>
              <w:bottom w:val="none"/>
            </w:tcBorders>
          </w:tcPr>
          <w:p>
            <w:pPr>
              <w:spacing w:before="0" w:after="60"/>
            </w:pPr>
            <w:r>
              <w:rPr>
                <w:b/>
                <w:color w:val="0B192C"/>
                <w:sz w:val="20"/>
              </w:rPr>
              <w:t>Platform &amp; Academy Leadership:</w:t>
              <w:br/>
            </w:r>
            <w:r>
              <w:rPr>
                <w:color w:val="212529"/>
                <w:sz w:val="19"/>
              </w:rPr>
              <w:t>• Akhilesh Malani - Founder &amp; Creator, AMASAMYA | Lead, School of Technology &amp; Accessibility Engineering</w:t>
              <w:br/>
              <w:t xml:space="preserve">  (Enterprise Accessibility Architect with 16+ years experience across Google, Bank of Montreal, Dun &amp; Bradstreet, Oracle; creator of AMASAMYA audit suite across Android, Web, and Extensions; author of VPAT 2.4, GIGW 3.0, and IS 17802 engines)</w:t>
              <w:br/>
              <w:br/>
              <w:t>• L. Subramani - Founding Academic Director, AMASAMYA Academy | Lead, School of English &amp; Professional Communication</w:t>
              <w:br/>
              <w:t xml:space="preserve">  (Veteran Journalist with 28+ years experience, former Chief Copy Editor at Deccan Herald, acclaimed author of 'Lights Out', communications strategist &amp; disability advocate)</w:t>
              <w:br/>
              <w:br/>
            </w:r>
            <w:r>
              <w:rPr>
                <w:i/>
                <w:color w:val="646E78"/>
                <w:sz w:val="18"/>
              </w:rPr>
              <w:t>Document Version: 2.1 (Platform &amp; Academy Master Plan) | Date: August 2026 | Distribution: Confidential / Internal</w:t>
            </w:r>
          </w:p>
        </w:tc>
      </w:tr>
    </w:tbl>
    <w:p>
      <w:pPr>
        <w:spacing w:after="160"/>
      </w:pPr>
    </w:p>
    <w:p>
      <w:pPr>
        <w:keepNext/>
        <w:spacing w:before="360" w:after="120"/>
      </w:pPr>
      <w:r>
        <w:rPr>
          <w:rFonts w:ascii="Segoe UI" w:hAnsi="Segoe UI"/>
          <w:b/>
          <w:color w:val="0B192C"/>
          <w:sz w:val="30"/>
        </w:rPr>
        <w:t>1. Executive Vision and Core Mission</w:t>
      </w:r>
    </w:p>
    <w:p>
      <w:pPr>
        <w:spacing w:before="0" w:after="100" w:line="276" w:lineRule="auto"/>
      </w:pPr>
      <w:r>
        <w:rPr>
          <w:rFonts w:ascii="Segoe UI" w:hAnsi="Segoe UI"/>
          <w:color w:val="212529"/>
        </w:rPr>
        <w:t>The mission of the AMASAMYA platform is to create a barrier-free ecosystem where persons with disabilities and mainstream learners build professional English and accessibility engineering skills side by side, taught by educators who navigate the digital world using the exact same assistive technology stack as the learners.</w:t>
      </w:r>
    </w:p>
    <w:p>
      <w:pPr>
        <w:spacing w:before="0" w:after="100" w:line="276" w:lineRule="auto"/>
      </w:pPr>
      <w:r>
        <w:rPr>
          <w:rFonts w:ascii="Segoe UI" w:hAnsi="Segoe UI"/>
          <w:color w:val="212529"/>
        </w:rPr>
        <w:t>AMASAMYA is founded and engineered by Akhilesh Malani as an overarching accessibility technology ecosystem. Within this ecosystem, AMASAMYA Academy is co-led in academic partnership with L. Subramani to provide rigorous, executive-level language and professional communication training.</w:t>
      </w:r>
    </w:p>
    <w:p>
      <w:pPr>
        <w:spacing w:before="0" w:after="100" w:line="276" w:lineRule="auto"/>
      </w:pPr>
      <w:r>
        <w:rPr>
          <w:rFonts w:ascii="Segoe UI" w:hAnsi="Segoe UI"/>
          <w:color w:val="212529"/>
        </w:rPr>
        <w:t>Every learner completing the AMASAMYA curriculum leaves with two tangible, career-defining assets:</w:t>
      </w:r>
    </w:p>
    <w:p>
      <w:pPr>
        <w:pStyle w:val="ListBullet"/>
        <w:spacing w:before="0" w:after="60" w:line="276" w:lineRule="auto"/>
      </w:pPr>
      <w:r>
        <w:rPr>
          <w:rFonts w:ascii="Segoe UI" w:hAnsi="Segoe UI"/>
          <w:b/>
          <w:color w:val="0B192C"/>
        </w:rPr>
        <w:t>1. Executive-English Mastery:</w:t>
      </w:r>
      <w:r>
        <w:rPr>
          <w:rFonts w:ascii="Segoe UI" w:hAnsi="Segoe UI"/>
          <w:color w:val="212529"/>
        </w:rPr>
        <w:t xml:space="preserve"> Corporate-grade written and spoken communication ability tailored for multinational and executive workplaces.</w:t>
      </w:r>
    </w:p>
    <w:p>
      <w:pPr>
        <w:pStyle w:val="ListBullet"/>
        <w:spacing w:before="0" w:after="60" w:line="276" w:lineRule="auto"/>
      </w:pPr>
      <w:r>
        <w:rPr>
          <w:rFonts w:ascii="Segoe UI" w:hAnsi="Segoe UI"/>
          <w:b/>
          <w:color w:val="0B192C"/>
        </w:rPr>
        <w:t>2. Marketable Technical Identity:</w:t>
      </w:r>
      <w:r>
        <w:rPr>
          <w:rFonts w:ascii="Segoe UI" w:hAnsi="Segoe UI"/>
          <w:color w:val="212529"/>
        </w:rPr>
        <w:t xml:space="preserve"> Verifiable credentials in accessibility engineering, standards compliance (WCAG 2.2, GIGW 3.0, IS 17802), or accessible content creation.</w:t>
      </w:r>
    </w:p>
    <w:p>
      <w:pPr>
        <w:keepNext/>
        <w:spacing w:before="360" w:after="120"/>
      </w:pPr>
      <w:r>
        <w:rPr>
          <w:rFonts w:ascii="Segoe UI" w:hAnsi="Segoe UI"/>
          <w:b/>
          <w:color w:val="0B192C"/>
          <w:sz w:val="30"/>
        </w:rPr>
        <w:t>2. Market Landscape &amp; Strategic Gap Analysis</w:t>
      </w:r>
    </w:p>
    <w:p>
      <w:pPr>
        <w:spacing w:before="0" w:after="100" w:line="276" w:lineRule="auto"/>
      </w:pPr>
      <w:r>
        <w:rPr>
          <w:rFonts w:ascii="Segoe UI" w:hAnsi="Segoe UI"/>
          <w:color w:val="212529"/>
        </w:rPr>
        <w:t>The four primary learner segments addressed by AMASAMYA are completely underserved on key functional dimensions by incumbent offerings:</w:t>
      </w:r>
    </w:p>
    <w:tbl>
      <w:tblPr>
        <w:tblW w:type="auto" w:w="0"/>
        <w:jc w:val="center"/>
        <w:tblLook w:firstColumn="1" w:firstRow="1" w:lastColumn="0" w:lastRow="0" w:noHBand="0" w:noVBand="1" w:val="04A0"/>
      </w:tblPr>
      <w:tblGrid>
        <w:gridCol w:w="3120"/>
        <w:gridCol w:w="3120"/>
        <w:gridCol w:w="3120"/>
      </w:tblGrid>
      <w:tr>
        <w:tc>
          <w:tcPr>
            <w:tcW w:type="dxa" w:w="2592"/>
            <w:shd w:fill="0B192C"/>
            <w:tcMar>
              <w:top w:w="100" w:type="dxa"/>
              <w:bottom w:w="100" w:type="dxa"/>
              <w:left w:w="120" w:type="dxa"/>
              <w:right w:w="120" w:type="dxa"/>
            </w:tcMar>
          </w:tcPr>
          <w:p>
            <w:r>
              <w:rPr>
                <w:b/>
                <w:color w:val="FFFFFF"/>
                <w:sz w:val="19"/>
              </w:rPr>
              <w:t>Learner Segment</w:t>
            </w:r>
          </w:p>
        </w:tc>
        <w:tc>
          <w:tcPr>
            <w:tcW w:type="dxa" w:w="3600"/>
            <w:shd w:fill="0B192C"/>
            <w:tcMar>
              <w:top w:w="100" w:type="dxa"/>
              <w:bottom w:w="100" w:type="dxa"/>
              <w:left w:w="120" w:type="dxa"/>
              <w:right w:w="120" w:type="dxa"/>
            </w:tcMar>
          </w:tcPr>
          <w:p>
            <w:r>
              <w:rPr>
                <w:b/>
                <w:color w:val="FFFFFF"/>
                <w:sz w:val="19"/>
              </w:rPr>
              <w:t>Incumbent Solutions &amp; Limitations</w:t>
            </w:r>
          </w:p>
        </w:tc>
        <w:tc>
          <w:tcPr>
            <w:tcW w:type="dxa" w:w="3168"/>
            <w:shd w:fill="0B192C"/>
            <w:tcMar>
              <w:top w:w="100" w:type="dxa"/>
              <w:bottom w:w="100" w:type="dxa"/>
              <w:left w:w="120" w:type="dxa"/>
              <w:right w:w="120" w:type="dxa"/>
            </w:tcMar>
          </w:tcPr>
          <w:p>
            <w:r>
              <w:rPr>
                <w:b/>
                <w:color w:val="FFFFFF"/>
                <w:sz w:val="19"/>
              </w:rPr>
              <w:t>The AMASAMYA Advantage</w:t>
            </w:r>
          </w:p>
        </w:tc>
      </w:tr>
      <w:tr>
        <w:tc>
          <w:tcPr>
            <w:tcW w:type="dxa" w:w="2592"/>
            <w:shd w:fill="F8FAFC"/>
            <w:tcMar>
              <w:top w:w="80" w:type="dxa"/>
              <w:bottom w:w="80" w:type="dxa"/>
              <w:left w:w="100" w:type="dxa"/>
              <w:right w:w="100" w:type="dxa"/>
            </w:tcMar>
          </w:tcPr>
          <w:p>
            <w:r>
              <w:rPr>
                <w:color w:val="212529"/>
                <w:sz w:val="18"/>
              </w:rPr>
              <w:t>Blind Adults preparing for corporate English roles</w:t>
            </w:r>
          </w:p>
        </w:tc>
        <w:tc>
          <w:tcPr>
            <w:tcW w:type="dxa" w:w="3600"/>
            <w:shd w:fill="F8FAFC"/>
            <w:tcMar>
              <w:top w:w="80" w:type="dxa"/>
              <w:bottom w:w="80" w:type="dxa"/>
              <w:left w:w="100" w:type="dxa"/>
              <w:right w:w="100" w:type="dxa"/>
            </w:tcMar>
          </w:tcPr>
          <w:p>
            <w:r>
              <w:rPr>
                <w:color w:val="212529"/>
                <w:sz w:val="18"/>
              </w:rPr>
              <w:t>Duolingo, Grammarly, ELSA: Heavily visual (drag-and-drop, image cues, video-first). Focus on casual dialogue; none deliver corporate-register writing or screen-reader usability end to end.</w:t>
            </w:r>
          </w:p>
        </w:tc>
        <w:tc>
          <w:tcPr>
            <w:tcW w:type="dxa" w:w="3168"/>
            <w:shd w:fill="F8FAFC"/>
            <w:tcMar>
              <w:top w:w="80" w:type="dxa"/>
              <w:bottom w:w="80" w:type="dxa"/>
              <w:left w:w="100" w:type="dxa"/>
              <w:right w:w="100" w:type="dxa"/>
            </w:tcMar>
          </w:tcPr>
          <w:p>
            <w:r>
              <w:rPr>
                <w:color w:val="212529"/>
                <w:sz w:val="18"/>
              </w:rPr>
              <w:t>Audio-first, screen-reader native pedagogy curated by L. Subramani. Focuses directly on business writing, nuance, and verbal workplace fluency.</w:t>
            </w:r>
          </w:p>
        </w:tc>
      </w:tr>
      <w:tr>
        <w:tc>
          <w:tcPr>
            <w:tcW w:type="dxa" w:w="2592"/>
            <w:shd w:fill="FFFFFF"/>
            <w:tcMar>
              <w:top w:w="80" w:type="dxa"/>
              <w:bottom w:w="80" w:type="dxa"/>
              <w:left w:w="100" w:type="dxa"/>
              <w:right w:w="100" w:type="dxa"/>
            </w:tcMar>
          </w:tcPr>
          <w:p>
            <w:r>
              <w:rPr>
                <w:color w:val="212529"/>
                <w:sz w:val="18"/>
              </w:rPr>
              <w:t>Blind Educators authoring accessible courses</w:t>
            </w:r>
          </w:p>
        </w:tc>
        <w:tc>
          <w:tcPr>
            <w:tcW w:type="dxa" w:w="3600"/>
            <w:shd w:fill="FFFFFF"/>
            <w:tcMar>
              <w:top w:w="80" w:type="dxa"/>
              <w:bottom w:w="80" w:type="dxa"/>
              <w:left w:w="100" w:type="dxa"/>
              <w:right w:w="100" w:type="dxa"/>
            </w:tcMar>
          </w:tcPr>
          <w:p>
            <w:r>
              <w:rPr>
                <w:color w:val="212529"/>
                <w:sz w:val="18"/>
              </w:rPr>
              <w:t>Canvas, Moodle, Coursera authoring suites: Authoring dashboards are visual-first. Blind educators cannot independently build, organize, or publish courses without sighted assistance.</w:t>
            </w:r>
          </w:p>
        </w:tc>
        <w:tc>
          <w:tcPr>
            <w:tcW w:type="dxa" w:w="3168"/>
            <w:shd w:fill="FFFFFF"/>
            <w:tcMar>
              <w:top w:w="80" w:type="dxa"/>
              <w:bottom w:w="80" w:type="dxa"/>
              <w:left w:w="100" w:type="dxa"/>
              <w:right w:w="100" w:type="dxa"/>
            </w:tcMar>
          </w:tcPr>
          <w:p>
            <w:r>
              <w:rPr>
                <w:color w:val="212529"/>
                <w:sz w:val="18"/>
              </w:rPr>
              <w:t>Inclusive audio-first authoring dashboard. Non-visual workflow with polite live region announcements, keyboard shortcuts, and simple quiz builders.</w:t>
            </w:r>
          </w:p>
        </w:tc>
      </w:tr>
      <w:tr>
        <w:tc>
          <w:tcPr>
            <w:tcW w:type="dxa" w:w="2592"/>
            <w:shd w:fill="F8FAFC"/>
            <w:tcMar>
              <w:top w:w="80" w:type="dxa"/>
              <w:bottom w:w="80" w:type="dxa"/>
              <w:left w:w="100" w:type="dxa"/>
              <w:right w:w="100" w:type="dxa"/>
            </w:tcMar>
          </w:tcPr>
          <w:p>
            <w:r>
              <w:rPr>
                <w:color w:val="212529"/>
                <w:sz w:val="18"/>
              </w:rPr>
              <w:t>Accessibility Engineers seeking Indian standards training</w:t>
            </w:r>
          </w:p>
        </w:tc>
        <w:tc>
          <w:tcPr>
            <w:tcW w:type="dxa" w:w="3600"/>
            <w:shd w:fill="F8FAFC"/>
            <w:tcMar>
              <w:top w:w="80" w:type="dxa"/>
              <w:bottom w:w="80" w:type="dxa"/>
              <w:left w:w="100" w:type="dxa"/>
              <w:right w:w="100" w:type="dxa"/>
            </w:tcMar>
          </w:tcPr>
          <w:p>
            <w:r>
              <w:rPr>
                <w:color w:val="212529"/>
                <w:sz w:val="18"/>
              </w:rPr>
              <w:t>Deque University, W3C WAI: Prohibitively priced ($150 to $300 USD per course). English-only; zero coverage of GIGW 3.0, IS 17802, or SEBI accessibility mandates.</w:t>
            </w:r>
          </w:p>
        </w:tc>
        <w:tc>
          <w:tcPr>
            <w:tcW w:type="dxa" w:w="3168"/>
            <w:shd w:fill="F8FAFC"/>
            <w:tcMar>
              <w:top w:w="80" w:type="dxa"/>
              <w:bottom w:w="80" w:type="dxa"/>
              <w:left w:w="100" w:type="dxa"/>
              <w:right w:w="100" w:type="dxa"/>
            </w:tcMar>
          </w:tcPr>
          <w:p>
            <w:r>
              <w:rPr>
                <w:color w:val="212529"/>
                <w:sz w:val="18"/>
              </w:rPr>
              <w:t>Affordable domestic pricing in INR, integrated audit tool exercises, full coverage of Indian national standards alongside global WCAG 2.2 benchmarks.</w:t>
            </w:r>
          </w:p>
        </w:tc>
      </w:tr>
      <w:tr>
        <w:tc>
          <w:tcPr>
            <w:tcW w:type="dxa" w:w="2592"/>
            <w:shd w:fill="FFFFFF"/>
            <w:tcMar>
              <w:top w:w="80" w:type="dxa"/>
              <w:bottom w:w="80" w:type="dxa"/>
              <w:left w:w="100" w:type="dxa"/>
              <w:right w:w="100" w:type="dxa"/>
            </w:tcMar>
          </w:tcPr>
          <w:p>
            <w:r>
              <w:rPr>
                <w:color w:val="212529"/>
                <w:sz w:val="18"/>
              </w:rPr>
              <w:t>Indian Government &amp; Enterprise DEI Programs</w:t>
            </w:r>
          </w:p>
        </w:tc>
        <w:tc>
          <w:tcPr>
            <w:tcW w:type="dxa" w:w="3600"/>
            <w:shd w:fill="FFFFFF"/>
            <w:tcMar>
              <w:top w:w="80" w:type="dxa"/>
              <w:bottom w:w="80" w:type="dxa"/>
              <w:left w:w="100" w:type="dxa"/>
              <w:right w:w="100" w:type="dxa"/>
            </w:tcMar>
          </w:tcPr>
          <w:p>
            <w:r>
              <w:rPr>
                <w:color w:val="212529"/>
                <w:sz w:val="18"/>
              </w:rPr>
              <w:t>DIKSHA, SWAYAM, Sugamya Pustakalaya: High volume of content, but relies heavily on inaccessible PDFs, image-only quizzes, and uncaptioned video. No interactive labs.</w:t>
            </w:r>
          </w:p>
        </w:tc>
        <w:tc>
          <w:tcPr>
            <w:tcW w:type="dxa" w:w="3168"/>
            <w:shd w:fill="FFFFFF"/>
            <w:tcMar>
              <w:top w:w="80" w:type="dxa"/>
              <w:bottom w:w="80" w:type="dxa"/>
              <w:left w:w="100" w:type="dxa"/>
              <w:right w:w="100" w:type="dxa"/>
            </w:tcMar>
          </w:tcPr>
          <w:p>
            <w:r>
              <w:rPr>
                <w:color w:val="212529"/>
                <w:sz w:val="18"/>
              </w:rPr>
              <w:t>Certified accessible LMS environment, interactive technical labs, and verifiable compliance reporting (VPAT 2.4 ACR).</w:t>
            </w:r>
          </w:p>
        </w:tc>
      </w:tr>
    </w:tbl>
    <w:p>
      <w:pPr>
        <w:spacing w:after="120"/>
      </w:pPr>
    </w:p>
    <w:p>
      <w:pPr>
        <w:keepNext/>
        <w:spacing w:before="360" w:after="120"/>
      </w:pPr>
      <w:r>
        <w:rPr>
          <w:rFonts w:ascii="Segoe UI" w:hAnsi="Segoe UI"/>
          <w:b/>
          <w:color w:val="0B192C"/>
          <w:sz w:val="30"/>
        </w:rPr>
        <w:t>3. What We Build in Year One vs. What We Deliberately Defer</w:t>
      </w:r>
    </w:p>
    <w:p>
      <w:pPr>
        <w:spacing w:before="0" w:after="100" w:line="276" w:lineRule="auto"/>
      </w:pPr>
      <w:r>
        <w:rPr>
          <w:rFonts w:ascii="Segoe UI" w:hAnsi="Segoe UI"/>
          <w:color w:val="212529"/>
        </w:rPr>
        <w:t>To ensure flawless execution and avoid over-engineering, Version 2.1 strictly isolates Year One around core pedagogic proof and accessible infrastructure, deferring complex automation engines to Year Two.</w:t>
      </w:r>
    </w:p>
    <w:p>
      <w:pPr>
        <w:keepNext/>
        <w:spacing w:before="240" w:after="80"/>
      </w:pPr>
      <w:r>
        <w:rPr>
          <w:rFonts w:ascii="Segoe UI" w:hAnsi="Segoe UI"/>
          <w:b/>
          <w:color w:val="0072BC"/>
          <w:sz w:val="24"/>
        </w:rPr>
        <w:t>Year-One Scope (v1): Core Pedagogical &amp; Delivery Engines</w:t>
      </w:r>
    </w:p>
    <w:p>
      <w:pPr>
        <w:spacing w:before="0" w:after="100" w:line="276" w:lineRule="auto"/>
      </w:pPr>
      <w:r>
        <w:rPr>
          <w:rFonts w:ascii="Segoe UI" w:hAnsi="Segoe UI"/>
          <w:b/>
          <w:color w:val="0B192C"/>
        </w:rPr>
        <w:t xml:space="preserve">• </w:t>
      </w:r>
      <w:r>
        <w:rPr>
          <w:rFonts w:ascii="Segoe UI" w:hAnsi="Segoe UI"/>
          <w:color w:val="212529"/>
        </w:rPr>
        <w:t>Pillar 1: School of English and Professional Communication (Led by L. Subramani)</w:t>
      </w:r>
    </w:p>
    <w:p>
      <w:pPr>
        <w:pStyle w:val="ListBullet"/>
        <w:spacing w:before="0" w:after="60" w:line="276" w:lineRule="auto"/>
        <w:ind w:left="360"/>
      </w:pPr>
      <w:r>
        <w:rPr>
          <w:rFonts w:ascii="Segoe UI" w:hAnsi="Segoe UI"/>
          <w:b/>
          <w:color w:val="0B192C"/>
        </w:rPr>
        <w:t>Track A: English Foundations:</w:t>
      </w:r>
      <w:r>
        <w:rPr>
          <w:rFonts w:ascii="Segoe UI" w:hAnsi="Segoe UI"/>
          <w:color w:val="212529"/>
        </w:rPr>
        <w:t xml:space="preserve"> Phonics, sentence construction, tense consistency, vocabulary building, screen-reader friendly grammar drills, listening comprehension.</w:t>
      </w:r>
    </w:p>
    <w:p>
      <w:pPr>
        <w:pStyle w:val="ListBullet"/>
        <w:spacing w:before="0" w:after="60" w:line="276" w:lineRule="auto"/>
        <w:ind w:left="360"/>
      </w:pPr>
      <w:r>
        <w:rPr>
          <w:rFonts w:ascii="Segoe UI" w:hAnsi="Segoe UI"/>
          <w:b/>
          <w:color w:val="0B192C"/>
        </w:rPr>
        <w:t>Track B: Professional &amp; Corporate Writing:</w:t>
      </w:r>
      <w:r>
        <w:rPr>
          <w:rFonts w:ascii="Segoe UI" w:hAnsi="Segoe UI"/>
          <w:color w:val="212529"/>
        </w:rPr>
        <w:t xml:space="preserve"> High-impact business emails, status reports, technical documentation, copyediting, and jargon elimination.</w:t>
      </w:r>
    </w:p>
    <w:p>
      <w:pPr>
        <w:pStyle w:val="ListBullet"/>
        <w:spacing w:before="0" w:after="60" w:line="276" w:lineRule="auto"/>
        <w:ind w:left="360"/>
      </w:pPr>
      <w:r>
        <w:rPr>
          <w:rFonts w:ascii="Segoe UI" w:hAnsi="Segoe UI"/>
          <w:b/>
          <w:color w:val="0B192C"/>
        </w:rPr>
        <w:t>Track C: Executive Verbal Fluency:</w:t>
      </w:r>
      <w:r>
        <w:rPr>
          <w:rFonts w:ascii="Segoe UI" w:hAnsi="Segoe UI"/>
          <w:color w:val="212529"/>
        </w:rPr>
        <w:t xml:space="preserve"> Meeting leadership, public speaking, voice modulation, interview mastery, and effective communication pace.</w:t>
      </w:r>
    </w:p>
    <w:p>
      <w:pPr>
        <w:pStyle w:val="ListBullet"/>
        <w:spacing w:before="0" w:after="60" w:line="276" w:lineRule="auto"/>
        <w:ind w:left="360"/>
      </w:pPr>
      <w:r>
        <w:rPr>
          <w:rFonts w:ascii="Segoe UI" w:hAnsi="Segoe UI"/>
          <w:b/>
          <w:color w:val="0B192C"/>
        </w:rPr>
        <w:t>Track D: Journalism &amp; Content Craft:</w:t>
      </w:r>
      <w:r>
        <w:rPr>
          <w:rFonts w:ascii="Segoe UI" w:hAnsi="Segoe UI"/>
          <w:color w:val="212529"/>
        </w:rPr>
        <w:t xml:space="preserve"> Long-form feature writing, opinion pieces, accessible alt-text authoring, and digital advocacy storytelling.</w:t>
      </w:r>
    </w:p>
    <w:p>
      <w:pPr>
        <w:spacing w:before="0" w:after="100" w:line="276" w:lineRule="auto"/>
      </w:pPr>
      <w:r>
        <w:rPr>
          <w:rFonts w:ascii="Segoe UI" w:hAnsi="Segoe UI"/>
          <w:b/>
          <w:color w:val="0B192C"/>
        </w:rPr>
        <w:t xml:space="preserve">• </w:t>
      </w:r>
      <w:r>
        <w:rPr>
          <w:rFonts w:ascii="Segoe UI" w:hAnsi="Segoe UI"/>
          <w:color w:val="212529"/>
        </w:rPr>
        <w:t>Pillar 4a: Accessible LMS Learner Surface &amp; Blind-Educator Audio-First Authoring</w:t>
      </w:r>
    </w:p>
    <w:p>
      <w:pPr>
        <w:pStyle w:val="ListBullet"/>
        <w:spacing w:before="0" w:after="60" w:line="276" w:lineRule="auto"/>
        <w:ind w:left="360"/>
      </w:pPr>
      <w:r>
        <w:rPr>
          <w:rFonts w:ascii="Segoe UI" w:hAnsi="Segoe UI"/>
          <w:b/>
          <w:color w:val="0B192C"/>
        </w:rPr>
        <w:t>Learner Surface:</w:t>
      </w:r>
      <w:r>
        <w:rPr>
          <w:rFonts w:ascii="Segoe UI" w:hAnsi="Segoe UI"/>
          <w:color w:val="212529"/>
        </w:rPr>
        <w:t xml:space="preserve"> Full keyboard-only navigation, high-contrast palette, ARIA live region optimization, audio-first lesson streaming, and screen-reader optimized reading views.</w:t>
      </w:r>
    </w:p>
    <w:p>
      <w:pPr>
        <w:pStyle w:val="ListBullet"/>
        <w:spacing w:before="0" w:after="60" w:line="276" w:lineRule="auto"/>
        <w:ind w:left="360"/>
      </w:pPr>
      <w:r>
        <w:rPr>
          <w:rFonts w:ascii="Segoe UI" w:hAnsi="Segoe UI"/>
          <w:b/>
          <w:color w:val="0B192C"/>
        </w:rPr>
        <w:t>Educator Authoring Tool:</w:t>
      </w:r>
      <w:r>
        <w:rPr>
          <w:rFonts w:ascii="Segoe UI" w:hAnsi="Segoe UI"/>
          <w:color w:val="212529"/>
        </w:rPr>
        <w:t xml:space="preserve"> Audio recording, structured lesson upload, and quiz authoring tool allowing a blind educator to independently create and publish a complete course without sighted assistance.</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40" w:type="dxa"/>
              <w:right w:w="140" w:type="dxa"/>
            </w:tcMar>
            <w:tcBorders>
              <w:left w:val="single" w:sz="18" w:space="0" w:color="0072BC"/>
              <w:top w:val="none"/>
              <w:right w:val="none"/>
              <w:bottom w:val="none"/>
            </w:tcBorders>
          </w:tcPr>
          <w:p>
            <w:pPr>
              <w:spacing w:before="0" w:after="40"/>
            </w:pPr>
            <w:r>
              <w:rPr>
                <w:b/>
                <w:color w:val="0072BC"/>
                <w:sz w:val="19"/>
              </w:rPr>
              <w:t xml:space="preserve">Note - Pedagogical Bridge (The Audio-to-Text Workflow): </w:t>
            </w:r>
            <w:r>
              <w:rPr>
                <w:color w:val="212529"/>
                <w:sz w:val="19"/>
              </w:rPr>
              <w:t>While instruction is delivered audio-first, writing mastery requires granular text interaction. Track B and D exercises follow a tight loop: (1) Listen to audio micro-lecture -&gt; (2) Navigate accessible markdown sample text -&gt; (3) Draft response in an accessible web editor -&gt; (4) Receive structured rubric feedback from peer review circles and instructor office hours.</w:t>
            </w:r>
          </w:p>
        </w:tc>
      </w:tr>
    </w:tbl>
    <w:p>
      <w:pPr>
        <w:spacing w:after="80"/>
      </w:pPr>
    </w:p>
    <w:p>
      <w:pPr>
        <w:keepNext/>
        <w:spacing w:before="240" w:after="80"/>
      </w:pPr>
      <w:r>
        <w:rPr>
          <w:rFonts w:ascii="Segoe UI" w:hAnsi="Segoe UI"/>
          <w:b/>
          <w:color w:val="0072BC"/>
          <w:sz w:val="24"/>
        </w:rPr>
        <w:t>Year-Two Scope (v2): Scaled Automation &amp; Interactive Sandboxes</w:t>
      </w:r>
    </w:p>
    <w:p>
      <w:pPr>
        <w:pStyle w:val="ListBullet"/>
        <w:spacing w:before="0" w:after="60" w:line="276" w:lineRule="auto"/>
      </w:pPr>
      <w:r>
        <w:rPr>
          <w:rFonts w:ascii="Segoe UI" w:hAnsi="Segoe UI"/>
          <w:b/>
          <w:color w:val="0B192C"/>
        </w:rPr>
        <w:t>Pillar 3: AMASAMYA CopyAudit Engine:</w:t>
      </w:r>
      <w:r>
        <w:rPr>
          <w:rFonts w:ascii="Segoe UI" w:hAnsi="Segoe UI"/>
          <w:color w:val="212529"/>
        </w:rPr>
        <w:t xml:space="preserve"> Automated readability, grammar, tone, and clarity evaluation engine. Deferred to Year Two because the underlying pedagogical rules and rubrics established by L. Subramani in Year One must be validated first.</w:t>
      </w:r>
    </w:p>
    <w:p>
      <w:pPr>
        <w:pStyle w:val="ListBullet"/>
        <w:spacing w:before="0" w:after="60" w:line="276" w:lineRule="auto"/>
      </w:pPr>
      <w:r>
        <w:rPr>
          <w:rFonts w:ascii="Segoe UI" w:hAnsi="Segoe UI"/>
          <w:b/>
          <w:color w:val="0B192C"/>
        </w:rPr>
        <w:t>Pillar 2b: AMASAMYA CodeLab:</w:t>
      </w:r>
      <w:r>
        <w:rPr>
          <w:rFonts w:ascii="Segoe UI" w:hAnsi="Segoe UI"/>
          <w:color w:val="212529"/>
        </w:rPr>
        <w:t xml:space="preserve"> Live browser code sandbox providing instant screen-reader utterance simulations. Deferred to Year Two because Year One engineering tracks can be effectively delivered via existing extension audits, lectures, and live code remediation exercises.</w:t>
      </w:r>
    </w:p>
    <w:p>
      <w:pPr>
        <w:keepNext/>
        <w:spacing w:before="240" w:after="80"/>
      </w:pPr>
      <w:r>
        <w:rPr>
          <w:rFonts w:ascii="Segoe UI" w:hAnsi="Segoe UI"/>
          <w:b/>
          <w:color w:val="0072BC"/>
          <w:sz w:val="24"/>
        </w:rPr>
        <w:t>Out of Year-One Scope Entirely</w:t>
      </w:r>
    </w:p>
    <w:p>
      <w:pPr>
        <w:pStyle w:val="ListBullet"/>
        <w:spacing w:before="0" w:after="60" w:line="276" w:lineRule="auto"/>
      </w:pPr>
      <w:r>
        <w:rPr>
          <w:rFonts w:ascii="Segoe UI" w:hAnsi="Segoe UI"/>
          <w:b/>
          <w:color w:val="0B192C"/>
        </w:rPr>
        <w:t>Indic Regional Language Learning Paths:</w:t>
      </w:r>
      <w:r>
        <w:rPr>
          <w:rFonts w:ascii="Segoe UI" w:hAnsi="Segoe UI"/>
          <w:color w:val="212529"/>
        </w:rPr>
        <w:t xml:space="preserve"> Requires native-speaker instructors, script-specific screen reader QA, and regional localization. Planned as a v3 milestone post Year-One traction.</w:t>
      </w:r>
    </w:p>
    <w:p>
      <w:pPr>
        <w:pStyle w:val="ListBullet"/>
        <w:spacing w:before="0" w:after="60" w:line="276" w:lineRule="auto"/>
      </w:pPr>
      <w:r>
        <w:rPr>
          <w:rFonts w:ascii="Segoe UI" w:hAnsi="Segoe UI"/>
          <w:b/>
          <w:color w:val="0B192C"/>
        </w:rPr>
        <w:t>Full B2B Enterprise Sales Motion:</w:t>
      </w:r>
      <w:r>
        <w:rPr>
          <w:rFonts w:ascii="Segoe UI" w:hAnsi="Segoe UI"/>
          <w:color w:val="212529"/>
        </w:rPr>
        <w:t xml:space="preserve"> Enterprise procurement cycles span 6 to 18 months in India. Year One financial sustainability does not rely on enterprise closures; corporate outreach begins in Month 10 for Year Two delivery.</w:t>
      </w:r>
    </w:p>
    <w:p>
      <w:pPr>
        <w:keepNext/>
        <w:spacing w:before="360" w:after="120"/>
      </w:pPr>
      <w:r>
        <w:rPr>
          <w:rFonts w:ascii="Segoe UI" w:hAnsi="Segoe UI"/>
          <w:b/>
          <w:color w:val="0B192C"/>
          <w:sz w:val="30"/>
        </w:rPr>
        <w:t>4. Twelve-Month Roadmap with Explicit Numeric Gate Conditions</w:t>
      </w:r>
    </w:p>
    <w:p>
      <w:pPr>
        <w:spacing w:before="0" w:after="100" w:line="276" w:lineRule="auto"/>
      </w:pPr>
      <w:r>
        <w:rPr>
          <w:rFonts w:ascii="Segoe UI" w:hAnsi="Segoe UI"/>
          <w:color w:val="212529"/>
        </w:rPr>
        <w:t>Progression between phases is governed by strict numeric gate conditions. If a gate is not met, the leadership will iterate the current curriculum and product before investing capital in subsequent phases.</w:t>
      </w:r>
    </w:p>
    <w:p>
      <w:pPr>
        <w:keepNext/>
        <w:spacing w:before="240" w:after="80"/>
      </w:pPr>
      <w:r>
        <w:rPr>
          <w:rFonts w:ascii="Segoe UI" w:hAnsi="Segoe UI"/>
          <w:b/>
          <w:color w:val="0072BC"/>
          <w:sz w:val="24"/>
        </w:rPr>
        <w:t>Phase 1 (Months 1 to 4): Foundation, First Cohort &amp; Curriculum Lock</w:t>
      </w:r>
    </w:p>
    <w:p>
      <w:pPr>
        <w:pStyle w:val="ListBullet"/>
        <w:spacing w:before="0" w:after="60" w:line="276" w:lineRule="auto"/>
      </w:pPr>
      <w:r>
        <w:rPr>
          <w:rFonts w:ascii="Segoe UI" w:hAnsi="Segoe UI"/>
          <w:color w:val="212529"/>
        </w:rPr>
        <w:t xml:space="preserve"> Curriculum outline for Tracks A and B finalized, reviewed, and recorded by L. Subramani (8 initial audio-first lessons).</w:t>
      </w:r>
    </w:p>
    <w:p>
      <w:pPr>
        <w:pStyle w:val="ListBullet"/>
        <w:spacing w:before="0" w:after="60" w:line="276" w:lineRule="auto"/>
      </w:pPr>
      <w:r>
        <w:rPr>
          <w:rFonts w:ascii="Segoe UI" w:hAnsi="Segoe UI"/>
          <w:color w:val="212529"/>
        </w:rPr>
        <w:t xml:space="preserve"> Accessible LMS learner portal deployed; educator authoring tool at functional MVP.</w:t>
      </w:r>
    </w:p>
    <w:p>
      <w:pPr>
        <w:pStyle w:val="ListBullet"/>
        <w:spacing w:before="0" w:after="60" w:line="276" w:lineRule="auto"/>
      </w:pPr>
      <w:r>
        <w:rPr>
          <w:rFonts w:ascii="Segoe UI" w:hAnsi="Segoe UI"/>
          <w:color w:val="212529"/>
        </w:rPr>
        <w:t xml:space="preserve"> Enrolment of Cohort 1: 30 verified blind learners via AMASAMYA extension link and partnered disability organizations (with advanced placement testing for learners skipping Track A into Track B).</w:t>
      </w:r>
    </w:p>
    <w:p>
      <w:pPr>
        <w:spacing w:before="0" w:after="100" w:line="276" w:lineRule="auto"/>
      </w:pPr>
      <w:r>
        <w:rPr>
          <w:rFonts w:ascii="Segoe UI" w:hAnsi="Segoe UI"/>
          <w:b/>
          <w:color w:val="0B192C"/>
        </w:rPr>
        <w:t xml:space="preserve">Gate to Phase 2: </w:t>
      </w:r>
      <w:r>
        <w:rPr>
          <w:rFonts w:ascii="Segoe UI" w:hAnsi="Segoe UI"/>
          <w:color w:val="212529"/>
        </w:rPr>
        <w:t>First cohort achieves at least 40% retention (12 of 30 learners reaching Level 2 completion) and written curriculum feedback submitted by at least 15 learners.</w:t>
      </w:r>
    </w:p>
    <w:p>
      <w:pPr>
        <w:keepNext/>
        <w:spacing w:before="240" w:after="80"/>
      </w:pPr>
      <w:r>
        <w:rPr>
          <w:rFonts w:ascii="Segoe UI" w:hAnsi="Segoe UI"/>
          <w:b/>
          <w:color w:val="0072BC"/>
          <w:sz w:val="24"/>
        </w:rPr>
        <w:t>Phase 2 (Months 5 to 8): Tracks C &amp; D, Paid Tier &amp; Peer Review Circles</w:t>
      </w:r>
    </w:p>
    <w:p>
      <w:pPr>
        <w:pStyle w:val="ListBullet"/>
        <w:spacing w:before="0" w:after="60" w:line="276" w:lineRule="auto"/>
      </w:pPr>
      <w:r>
        <w:rPr>
          <w:rFonts w:ascii="Segoe UI" w:hAnsi="Segoe UI"/>
          <w:color w:val="212529"/>
        </w:rPr>
        <w:t xml:space="preserve"> Tracks C (Executive Verbal Fluency) and D (Journalism &amp; Content Craft) recorded and published.</w:t>
      </w:r>
    </w:p>
    <w:p>
      <w:pPr>
        <w:pStyle w:val="ListBullet"/>
        <w:spacing w:before="0" w:after="60" w:line="276" w:lineRule="auto"/>
      </w:pPr>
      <w:r>
        <w:rPr>
          <w:rFonts w:ascii="Segoe UI" w:hAnsi="Segoe UI"/>
          <w:color w:val="212529"/>
        </w:rPr>
        <w:t xml:space="preserve"> Launch of individual paid subscription tier at introductory pricing (INR 999 per month).</w:t>
      </w:r>
    </w:p>
    <w:p>
      <w:pPr>
        <w:pStyle w:val="ListBullet"/>
        <w:spacing w:before="0" w:after="60" w:line="276" w:lineRule="auto"/>
      </w:pPr>
      <w:r>
        <w:rPr>
          <w:rFonts w:ascii="Segoe UI" w:hAnsi="Segoe UI"/>
          <w:color w:val="212529"/>
        </w:rPr>
        <w:t xml:space="preserve"> Enrolment of Cohort 2: Target 100 learners across free and paid tiers.</w:t>
      </w:r>
    </w:p>
    <w:p>
      <w:pPr>
        <w:pStyle w:val="ListBullet"/>
        <w:spacing w:before="0" w:after="60" w:line="276" w:lineRule="auto"/>
      </w:pPr>
      <w:r>
        <w:rPr>
          <w:rFonts w:ascii="Segoe UI" w:hAnsi="Segoe UI"/>
          <w:color w:val="212529"/>
        </w:rPr>
        <w:t xml:space="preserve"> Implementation of moderated Peer Writing Circles to scale assignment reviews without bottlenecking instructor bandwidth.</w:t>
      </w:r>
    </w:p>
    <w:p>
      <w:pPr>
        <w:pStyle w:val="ListBullet"/>
        <w:spacing w:before="0" w:after="60" w:line="276" w:lineRule="auto"/>
      </w:pPr>
      <w:r>
        <w:rPr>
          <w:rFonts w:ascii="Segoe UI" w:hAnsi="Segoe UI"/>
          <w:color w:val="212529"/>
        </w:rPr>
        <w:t xml:space="preserve"> Educator Co-Design Pilot: 3 external blind educators onboarded to test and publish through the authoring tool.</w:t>
      </w:r>
    </w:p>
    <w:p>
      <w:pPr>
        <w:spacing w:before="0" w:after="100" w:line="276" w:lineRule="auto"/>
      </w:pPr>
      <w:r>
        <w:rPr>
          <w:rFonts w:ascii="Segoe UI" w:hAnsi="Segoe UI"/>
          <w:b/>
          <w:color w:val="0B192C"/>
        </w:rPr>
        <w:t xml:space="preserve">Gate to Phase 3: </w:t>
      </w:r>
      <w:r>
        <w:rPr>
          <w:rFonts w:ascii="Segoe UI" w:hAnsi="Segoe UI"/>
          <w:color w:val="212529"/>
        </w:rPr>
        <w:t>At least 20 active paying learners and at least 1 external blind educator successfully publishes a course through the platform.</w:t>
      </w:r>
    </w:p>
    <w:p>
      <w:pPr>
        <w:keepNext/>
        <w:spacing w:before="240" w:after="80"/>
      </w:pPr>
      <w:r>
        <w:rPr>
          <w:rFonts w:ascii="Segoe UI" w:hAnsi="Segoe UI"/>
          <w:b/>
          <w:color w:val="0072BC"/>
          <w:sz w:val="24"/>
        </w:rPr>
        <w:t>Phase 3 (Months 9 to 12): Institutional Scale &amp; Educator Platform Launch</w:t>
      </w:r>
    </w:p>
    <w:p>
      <w:pPr>
        <w:pStyle w:val="ListBullet"/>
        <w:spacing w:before="0" w:after="60" w:line="276" w:lineRule="auto"/>
      </w:pPr>
      <w:r>
        <w:rPr>
          <w:rFonts w:ascii="Segoe UI" w:hAnsi="Segoe UI"/>
          <w:color w:val="212529"/>
        </w:rPr>
        <w:t xml:space="preserve"> Corporate DEI and CSR outreach: 5 qualified corporate discussions; initiate 1 pilot program.</w:t>
      </w:r>
    </w:p>
    <w:p>
      <w:pPr>
        <w:pStyle w:val="ListBullet"/>
        <w:spacing w:before="0" w:after="60" w:line="276" w:lineRule="auto"/>
      </w:pPr>
      <w:r>
        <w:rPr>
          <w:rFonts w:ascii="Segoe UI" w:hAnsi="Segoe UI"/>
          <w:color w:val="212529"/>
        </w:rPr>
        <w:t xml:space="preserve"> Authoring platform moves out of beta and opens to verified community educators.</w:t>
      </w:r>
    </w:p>
    <w:p>
      <w:pPr>
        <w:pStyle w:val="ListBullet"/>
        <w:spacing w:before="0" w:after="60" w:line="276" w:lineRule="auto"/>
      </w:pPr>
      <w:r>
        <w:rPr>
          <w:rFonts w:ascii="Segoe UI" w:hAnsi="Segoe UI"/>
          <w:color w:val="212529"/>
        </w:rPr>
        <w:t xml:space="preserve"> Institutional partnership discussions initiated with 3 Indian universities and 2 blind schools.</w:t>
      </w:r>
    </w:p>
    <w:p>
      <w:pPr>
        <w:pStyle w:val="ListBullet"/>
        <w:spacing w:before="0" w:after="60" w:line="276" w:lineRule="auto"/>
      </w:pPr>
      <w:r>
        <w:rPr>
          <w:rFonts w:ascii="Segoe UI" w:hAnsi="Segoe UI"/>
          <w:color w:val="212529"/>
        </w:rPr>
        <w:t xml:space="preserve"> Technical and pedagogical scoping for Year Two engines (CopyAudit &amp; CodeLab).</w:t>
      </w:r>
    </w:p>
    <w:p>
      <w:pPr>
        <w:spacing w:before="0" w:after="100" w:line="276" w:lineRule="auto"/>
      </w:pPr>
      <w:r>
        <w:rPr>
          <w:rFonts w:ascii="Segoe UI" w:hAnsi="Segoe UI"/>
          <w:b/>
          <w:color w:val="0B192C"/>
        </w:rPr>
        <w:t xml:space="preserve">Gate to Year Two: </w:t>
      </w:r>
      <w:r>
        <w:rPr>
          <w:rFonts w:ascii="Segoe UI" w:hAnsi="Segoe UI"/>
          <w:color w:val="212529"/>
        </w:rPr>
        <w:t>100 active paying learners OR 1 signed enterprise pilot OR 2 signed institutional MOUs. Any one of the three triggers Year Two expansion.</w:t>
      </w:r>
    </w:p>
    <w:p>
      <w:pPr>
        <w:keepNext/>
        <w:spacing w:before="360" w:after="120"/>
      </w:pPr>
      <w:r>
        <w:rPr>
          <w:rFonts w:ascii="Segoe UI" w:hAnsi="Segoe UI"/>
          <w:b/>
          <w:color w:val="0B192C"/>
          <w:sz w:val="30"/>
        </w:rPr>
        <w:t>5. Monetisation Model &amp; Financial Sustainability</w:t>
      </w:r>
    </w:p>
    <w:p>
      <w:pPr>
        <w:spacing w:before="0" w:after="100" w:line="276" w:lineRule="auto"/>
      </w:pPr>
      <w:r>
        <w:rPr>
          <w:rFonts w:ascii="Segoe UI" w:hAnsi="Segoe UI"/>
          <w:color w:val="212529"/>
        </w:rPr>
        <w:t>The platform combines community affordability with enterprise and institutional revenue streams. The foundational track remains permanently free to protect community access.</w:t>
      </w:r>
    </w:p>
    <w:p>
      <w:pPr>
        <w:pStyle w:val="ListBullet"/>
        <w:spacing w:before="0" w:after="60" w:line="276" w:lineRule="auto"/>
      </w:pPr>
      <w:r>
        <w:rPr>
          <w:rFonts w:ascii="Segoe UI" w:hAnsi="Segoe UI"/>
          <w:b/>
          <w:color w:val="0B192C"/>
        </w:rPr>
        <w:t>• Free Community Tier:</w:t>
      </w:r>
      <w:r>
        <w:rPr>
          <w:rFonts w:ascii="Segoe UI" w:hAnsi="Segoe UI"/>
          <w:color w:val="212529"/>
        </w:rPr>
        <w:t xml:space="preserve"> Full Track A (Foundations) plus Module 1 of Track B. Fully accessible LMS access with no time limit. Subsidized by paid tiers and corporate sponsorships.</w:t>
      </w:r>
    </w:p>
    <w:p>
      <w:pPr>
        <w:pStyle w:val="ListBullet"/>
        <w:spacing w:before="0" w:after="60" w:line="276" w:lineRule="auto"/>
      </w:pPr>
      <w:r>
        <w:rPr>
          <w:rFonts w:ascii="Segoe UI" w:hAnsi="Segoe UI"/>
          <w:b/>
          <w:color w:val="0B192C"/>
        </w:rPr>
        <w:t>• Individual Paid Tier:</w:t>
      </w:r>
      <w:r>
        <w:rPr>
          <w:rFonts w:ascii="Segoe UI" w:hAnsi="Segoe UI"/>
          <w:color w:val="212529"/>
        </w:rPr>
        <w:t xml:space="preserve"> Complete Tracks A through D plus certification pathway plus peer circle participation. INR 999 per month or INR 8,999 per year (deliberately priced below foreign platforms like Deque to suit Indian professionals).</w:t>
      </w:r>
    </w:p>
    <w:p>
      <w:pPr>
        <w:pStyle w:val="ListBullet"/>
        <w:spacing w:before="0" w:after="60" w:line="276" w:lineRule="auto"/>
      </w:pPr>
      <w:r>
        <w:rPr>
          <w:rFonts w:ascii="Segoe UI" w:hAnsi="Segoe UI"/>
          <w:b/>
          <w:color w:val="0B192C"/>
        </w:rPr>
        <w:t>• Corporate / CSR Sponsor-a-Scholar Tier:</w:t>
      </w:r>
      <w:r>
        <w:rPr>
          <w:rFonts w:ascii="Segoe UI" w:hAnsi="Segoe UI"/>
          <w:color w:val="212529"/>
        </w:rPr>
        <w:t xml:space="preserve"> Bulk licenses for corporate DEI hiring pipelines and accessibility engineering upskilling. INR 2 to 5 Lakhs per organization per year (includes up to 25 learners plus hiring pipeline visibility).</w:t>
      </w:r>
    </w:p>
    <w:p>
      <w:pPr>
        <w:pStyle w:val="ListBullet"/>
        <w:spacing w:before="0" w:after="60" w:line="276" w:lineRule="auto"/>
      </w:pPr>
      <w:r>
        <w:rPr>
          <w:rFonts w:ascii="Segoe UI" w:hAnsi="Segoe UI"/>
          <w:b/>
          <w:color w:val="0B192C"/>
        </w:rPr>
        <w:t>• Institutional Tier:</w:t>
      </w:r>
      <w:r>
        <w:rPr>
          <w:rFonts w:ascii="Segoe UI" w:hAnsi="Segoe UI"/>
          <w:color w:val="212529"/>
        </w:rPr>
        <w:t xml:space="preserve"> Discounted, cost-recovery volume pricing for universities, special schools, and NGO training centers.</w:t>
      </w:r>
    </w:p>
    <w:p>
      <w:pPr>
        <w:pStyle w:val="ListBullet"/>
        <w:spacing w:before="0" w:after="60" w:line="276" w:lineRule="auto"/>
      </w:pPr>
      <w:r>
        <w:rPr>
          <w:rFonts w:ascii="Segoe UI" w:hAnsi="Segoe UI"/>
          <w:b/>
          <w:color w:val="0B192C"/>
        </w:rPr>
        <w:t>• Grant Funding:</w:t>
      </w:r>
      <w:r>
        <w:rPr>
          <w:rFonts w:ascii="Segoe UI" w:hAnsi="Segoe UI"/>
          <w:color w:val="212529"/>
        </w:rPr>
        <w:t xml:space="preserve"> Pursue non-dilutive assistive technology and disability empowerment grants (e.g. MSJE, international inclusion foundations) to underwrite regional language modules in Year Two.</w:t>
      </w:r>
    </w:p>
    <w:p>
      <w:pPr>
        <w:keepNext/>
        <w:spacing w:before="360" w:after="120"/>
      </w:pPr>
      <w:r>
        <w:rPr>
          <w:rFonts w:ascii="Segoe UI" w:hAnsi="Segoe UI"/>
          <w:b/>
          <w:color w:val="0B192C"/>
          <w:sz w:val="30"/>
        </w:rPr>
        <w:t>6. Governance, Intellectual Property, and Leadership Structure</w:t>
      </w:r>
    </w:p>
    <w:p>
      <w:pPr>
        <w:pStyle w:val="ListBullet"/>
        <w:spacing w:before="0" w:after="60" w:line="276" w:lineRule="auto"/>
      </w:pPr>
      <w:r>
        <w:rPr>
          <w:rFonts w:ascii="Segoe UI" w:hAnsi="Segoe UI"/>
          <w:b/>
          <w:color w:val="0B192C"/>
        </w:rPr>
        <w:t>• Master Entity &amp; Ownership:</w:t>
      </w:r>
      <w:r>
        <w:rPr>
          <w:rFonts w:ascii="Segoe UI" w:hAnsi="Segoe UI"/>
          <w:color w:val="212529"/>
        </w:rPr>
        <w:t xml:space="preserve"> AMASAMYA is owned and founded by Akhilesh Malani. The legal entity holding the master brand, website, and technology is owned 100% by Akhilesh Malani.</w:t>
      </w:r>
    </w:p>
    <w:p>
      <w:pPr>
        <w:pStyle w:val="ListBullet"/>
        <w:spacing w:before="0" w:after="60" w:line="276" w:lineRule="auto"/>
      </w:pPr>
      <w:r>
        <w:rPr>
          <w:rFonts w:ascii="Segoe UI" w:hAnsi="Segoe UI"/>
          <w:b/>
          <w:color w:val="0B192C"/>
        </w:rPr>
        <w:t>• Software IP Ownership:</w:t>
      </w:r>
      <w:r>
        <w:rPr>
          <w:rFonts w:ascii="Segoe UI" w:hAnsi="Segoe UI"/>
          <w:color w:val="212529"/>
        </w:rPr>
        <w:t xml:space="preserve"> All AMASAMYA software IP (browser extensions, Android app, web audit engine, VPAT ACR generator, CodeLab, and platform source code) remains the exclusive, undiluted property of Akhilesh Malani.</w:t>
      </w:r>
    </w:p>
    <w:p>
      <w:pPr>
        <w:pStyle w:val="ListBullet"/>
        <w:spacing w:before="0" w:after="60" w:line="276" w:lineRule="auto"/>
      </w:pPr>
      <w:r>
        <w:rPr>
          <w:rFonts w:ascii="Segoe UI" w:hAnsi="Segoe UI"/>
          <w:b/>
          <w:color w:val="0B192C"/>
        </w:rPr>
        <w:t>• Academy Leadership &amp; Academic Partnership:</w:t>
      </w:r>
      <w:r>
        <w:rPr>
          <w:rFonts w:ascii="Segoe UI" w:hAnsi="Segoe UI"/>
          <w:color w:val="212529"/>
        </w:rPr>
        <w:t xml:space="preserve"> L. Subramani joins as Founding Academic Director of AMASAMYA Academy and Academic Lead for the School of English and Professional Communication. Course content authored by Subramani is licensed to AMASAMYA under a primary academic partnership.</w:t>
      </w:r>
    </w:p>
    <w:p>
      <w:pPr>
        <w:pStyle w:val="ListBullet"/>
        <w:spacing w:before="0" w:after="60" w:line="276" w:lineRule="auto"/>
      </w:pPr>
      <w:r>
        <w:rPr>
          <w:rFonts w:ascii="Segoe UI" w:hAnsi="Segoe UI"/>
          <w:b/>
          <w:color w:val="0B192C"/>
        </w:rPr>
        <w:t>• Commercial Revenue Sharing:</w:t>
      </w:r>
      <w:r>
        <w:rPr>
          <w:rFonts w:ascii="Segoe UI" w:hAnsi="Segoe UI"/>
          <w:color w:val="212529"/>
        </w:rPr>
        <w:t xml:space="preserve"> Revenue generated from Academy student subscriptions, corporate DEI communication licenses, and institutional curriculum packages is shared equitably between Akhilesh Malani and L. Subramani following direct platform infrastructure expenses.</w:t>
      </w:r>
    </w:p>
    <w:p>
      <w:pPr>
        <w:pStyle w:val="ListBullet"/>
        <w:spacing w:before="0" w:after="60" w:line="276" w:lineRule="auto"/>
      </w:pPr>
      <w:r>
        <w:rPr>
          <w:rFonts w:ascii="Segoe UI" w:hAnsi="Segoe UI"/>
          <w:b/>
          <w:color w:val="0B192C"/>
        </w:rPr>
        <w:t>• Joint Certification Credibility:</w:t>
      </w:r>
      <w:r>
        <w:rPr>
          <w:rFonts w:ascii="Segoe UI" w:hAnsi="Segoe UI"/>
          <w:color w:val="212529"/>
        </w:rPr>
        <w:t xml:space="preserve"> Course completion certificates issued by the Academy are co-signed by both Akhilesh Malani and L. Subramani, providing learners with combined validation from enterprise accessibility engineering and senior journalism.</w:t>
      </w:r>
    </w:p>
    <w:p>
      <w:pPr>
        <w:keepNext/>
        <w:spacing w:before="360" w:after="120"/>
      </w:pPr>
      <w:r>
        <w:rPr>
          <w:rFonts w:ascii="Segoe UI" w:hAnsi="Segoe UI"/>
          <w:b/>
          <w:color w:val="0B192C"/>
          <w:sz w:val="30"/>
        </w:rPr>
        <w:t>7. Regulatory Posture &amp; Trust Compliance</w:t>
      </w:r>
    </w:p>
    <w:p>
      <w:pPr>
        <w:pStyle w:val="ListBullet"/>
        <w:spacing w:before="0" w:after="60" w:line="276" w:lineRule="auto"/>
      </w:pPr>
      <w:r>
        <w:rPr>
          <w:rFonts w:ascii="Segoe UI" w:hAnsi="Segoe UI"/>
          <w:b/>
          <w:color w:val="0B192C"/>
        </w:rPr>
        <w:t>• DPDP Act 2023 Compliance:</w:t>
      </w:r>
      <w:r>
        <w:rPr>
          <w:rFonts w:ascii="Segoe UI" w:hAnsi="Segoe UI"/>
          <w:color w:val="212529"/>
        </w:rPr>
        <w:t xml:space="preserve"> Enrolment in Year One is restricted to adults (18+) to eliminate minor-consent regulatory overhead. Full digital consent and explicit data privacy terms implemented on the portal.</w:t>
      </w:r>
    </w:p>
    <w:p>
      <w:pPr>
        <w:pStyle w:val="ListBullet"/>
        <w:spacing w:before="0" w:after="60" w:line="276" w:lineRule="auto"/>
      </w:pPr>
      <w:r>
        <w:rPr>
          <w:rFonts w:ascii="Segoe UI" w:hAnsi="Segoe UI"/>
          <w:b/>
          <w:color w:val="0B192C"/>
        </w:rPr>
        <w:t>• Credential Positioning:</w:t>
      </w:r>
      <w:r>
        <w:rPr>
          <w:rFonts w:ascii="Segoe UI" w:hAnsi="Segoe UI"/>
          <w:color w:val="212529"/>
        </w:rPr>
        <w:t xml:space="preserve"> Marketing will strictly position credentials as 'Certificates of Professional Completion' rather than university degrees or diplomas, maintaining compliance with UGC and AICTE ed-tech guidelines.</w:t>
      </w:r>
    </w:p>
    <w:p>
      <w:pPr>
        <w:pStyle w:val="ListBullet"/>
        <w:spacing w:before="0" w:after="60" w:line="276" w:lineRule="auto"/>
      </w:pPr>
      <w:r>
        <w:rPr>
          <w:rFonts w:ascii="Segoe UI" w:hAnsi="Segoe UI"/>
          <w:b/>
          <w:color w:val="0B192C"/>
        </w:rPr>
        <w:t>• Accessibility Assurance:</w:t>
      </w:r>
      <w:r>
        <w:rPr>
          <w:rFonts w:ascii="Segoe UI" w:hAnsi="Segoe UI"/>
          <w:color w:val="212529"/>
        </w:rPr>
        <w:t xml:space="preserve"> Complete compliance with RPwD Act 2016, WCAG 2.2 AA, and GIGW 3.0. The platform's own Accessibility Conformance Report (VPAT 2.4) will be published openly in Phase 1 as an unassailable trust signal.</w:t>
      </w:r>
    </w:p>
    <w:p>
      <w:pPr>
        <w:keepNext/>
        <w:spacing w:before="360" w:after="120"/>
      </w:pPr>
      <w:r>
        <w:rPr>
          <w:rFonts w:ascii="Segoe UI" w:hAnsi="Segoe UI"/>
          <w:b/>
          <w:color w:val="0B192C"/>
          <w:sz w:val="30"/>
        </w:rPr>
        <w:t>8. Year-One Extended Team &amp; Budget Estimates</w:t>
      </w:r>
    </w:p>
    <w:p>
      <w:pPr>
        <w:spacing w:before="0" w:after="100" w:line="276" w:lineRule="auto"/>
      </w:pPr>
      <w:r>
        <w:rPr>
          <w:rFonts w:ascii="Segoe UI" w:hAnsi="Segoe UI"/>
          <w:color w:val="212529"/>
        </w:rPr>
        <w:t>Year One operates on a lean, contractor-based model without full-time payroll overhead:</w:t>
      </w:r>
    </w:p>
    <w:p>
      <w:pPr>
        <w:pStyle w:val="ListBullet"/>
        <w:spacing w:before="0" w:after="60" w:line="276" w:lineRule="auto"/>
      </w:pPr>
      <w:r>
        <w:rPr>
          <w:rFonts w:ascii="Segoe UI" w:hAnsi="Segoe UI"/>
          <w:b/>
          <w:color w:val="0B192C"/>
        </w:rPr>
        <w:t>• Legal &amp; Compliance Counsel:</w:t>
      </w:r>
      <w:r>
        <w:rPr>
          <w:rFonts w:ascii="Segoe UI" w:hAnsi="Segoe UI"/>
          <w:color w:val="212529"/>
        </w:rPr>
        <w:t xml:space="preserve"> Partnership agreement, licensing draft, DPDP consent review (~INR 1,00,000).</w:t>
      </w:r>
    </w:p>
    <w:p>
      <w:pPr>
        <w:pStyle w:val="ListBullet"/>
        <w:spacing w:before="0" w:after="60" w:line="276" w:lineRule="auto"/>
      </w:pPr>
      <w:r>
        <w:rPr>
          <w:rFonts w:ascii="Segoe UI" w:hAnsi="Segoe UI"/>
          <w:b/>
          <w:color w:val="0B192C"/>
        </w:rPr>
        <w:t>• Accessible Audio Production Engineer:</w:t>
      </w:r>
      <w:r>
        <w:rPr>
          <w:rFonts w:ascii="Segoe UI" w:hAnsi="Segoe UI"/>
          <w:color w:val="212529"/>
        </w:rPr>
        <w:t xml:space="preserve"> Professional audio mastering and acoustic balancing for the first 20 core audio lessons (~INR 50,000 to 1,00,000).</w:t>
      </w:r>
    </w:p>
    <w:p>
      <w:pPr>
        <w:pStyle w:val="ListBullet"/>
        <w:spacing w:before="0" w:after="60" w:line="276" w:lineRule="auto"/>
      </w:pPr>
      <w:r>
        <w:rPr>
          <w:rFonts w:ascii="Segoe UI" w:hAnsi="Segoe UI"/>
          <w:b/>
          <w:color w:val="0B192C"/>
        </w:rPr>
        <w:t>• Independent Accessibility QA Reviewer:</w:t>
      </w:r>
      <w:r>
        <w:rPr>
          <w:rFonts w:ascii="Segoe UI" w:hAnsi="Segoe UI"/>
          <w:color w:val="212529"/>
        </w:rPr>
        <w:t xml:space="preserve"> External third-party blind accessibility auditor to conduct independent monthly conformance audits (~INR 15,000 per audit cycle).</w:t>
      </w:r>
    </w:p>
    <w:p>
      <w:pPr>
        <w:pStyle w:val="ListBullet"/>
        <w:spacing w:before="0" w:after="60" w:line="276" w:lineRule="auto"/>
      </w:pPr>
      <w:r>
        <w:rPr>
          <w:rFonts w:ascii="Segoe UI" w:hAnsi="Segoe UI"/>
          <w:b/>
          <w:color w:val="0B192C"/>
        </w:rPr>
        <w:t>• Community &amp; Peer Circle Lead:</w:t>
      </w:r>
      <w:r>
        <w:rPr>
          <w:rFonts w:ascii="Segoe UI" w:hAnsi="Segoe UI"/>
          <w:color w:val="212529"/>
        </w:rPr>
        <w:t xml:space="preserve"> Part-time manager to guide peer writing circles, learner onboarding, and community forums starting in Phase 2 (~INR 25,000 to 40,000 per month).</w:t>
      </w:r>
    </w:p>
    <w:p>
      <w:pPr>
        <w:pStyle w:val="ListBullet"/>
        <w:spacing w:before="0" w:after="60" w:line="276" w:lineRule="auto"/>
      </w:pPr>
      <w:r>
        <w:rPr>
          <w:rFonts w:ascii="Segoe UI" w:hAnsi="Segoe UI"/>
          <w:b/>
          <w:color w:val="0B192C"/>
        </w:rPr>
        <w:t>• Contract Educator Co-Design Lead:</w:t>
      </w:r>
      <w:r>
        <w:rPr>
          <w:rFonts w:ascii="Segoe UI" w:hAnsi="Segoe UI"/>
          <w:color w:val="212529"/>
        </w:rPr>
        <w:t xml:space="preserve"> Honorarium for first blind educator to author and publish a 20-lesson co-design test course in Phase 2 (~INR 75,000).</w:t>
      </w:r>
    </w:p>
    <w:p>
      <w:pPr>
        <w:keepNext/>
        <w:spacing w:before="360" w:after="120"/>
      </w:pPr>
      <w:r>
        <w:rPr>
          <w:rFonts w:ascii="Segoe UI" w:hAnsi="Segoe UI"/>
          <w:b/>
          <w:color w:val="0B192C"/>
          <w:sz w:val="30"/>
        </w:rPr>
        <w:t>9. Risk Register &amp; Proactive Mitigations</w:t>
      </w:r>
    </w:p>
    <w:p>
      <w:pPr>
        <w:pStyle w:val="ListBullet"/>
        <w:spacing w:before="0" w:after="60" w:line="276" w:lineRule="auto"/>
      </w:pPr>
      <w:r>
        <w:rPr>
          <w:rFonts w:ascii="Segoe UI" w:hAnsi="Segoe UI"/>
          <w:b/>
          <w:color w:val="0B192C"/>
        </w:rPr>
        <w:t>• Risk: Learner Drop-off Below 40% Gate | Mitigation:</w:t>
      </w:r>
      <w:r>
        <w:rPr>
          <w:rFonts w:ascii="Segoe UI" w:hAnsi="Segoe UI"/>
          <w:color w:val="212529"/>
        </w:rPr>
        <w:t xml:space="preserve"> Mid-Phase 1 qualitative check-ins; introduce buddy and peer accountability systems to catch curriculum friction early.</w:t>
      </w:r>
    </w:p>
    <w:p>
      <w:pPr>
        <w:pStyle w:val="ListBullet"/>
        <w:spacing w:before="0" w:after="60" w:line="276" w:lineRule="auto"/>
      </w:pPr>
      <w:r>
        <w:rPr>
          <w:rFonts w:ascii="Segoe UI" w:hAnsi="Segoe UI"/>
          <w:b/>
          <w:color w:val="0B192C"/>
        </w:rPr>
        <w:t>• Risk: Educator Authoring Tool UX Friction | Mitigation:</w:t>
      </w:r>
      <w:r>
        <w:rPr>
          <w:rFonts w:ascii="Segoe UI" w:hAnsi="Segoe UI"/>
          <w:color w:val="212529"/>
        </w:rPr>
        <w:t xml:space="preserve"> Keep Phase 1 tool constrained to a clean, non-visual audio recorder plus MCQ/short-answer quiz builder before expanding features.</w:t>
      </w:r>
    </w:p>
    <w:p>
      <w:pPr>
        <w:pStyle w:val="ListBullet"/>
        <w:spacing w:before="0" w:after="60" w:line="276" w:lineRule="auto"/>
      </w:pPr>
      <w:r>
        <w:rPr>
          <w:rFonts w:ascii="Segoe UI" w:hAnsi="Segoe UI"/>
          <w:b/>
          <w:color w:val="0B192C"/>
        </w:rPr>
        <w:t>• Risk: Sourcing Phase 1 Learners | Mitigation:</w:t>
      </w:r>
      <w:r>
        <w:rPr>
          <w:rFonts w:ascii="Segoe UI" w:hAnsi="Segoe UI"/>
          <w:color w:val="212529"/>
        </w:rPr>
        <w:t xml:space="preserve"> Combine extension marketing with targeted outreach via National Association for the Blind (NAB), XRCVC, and disability networks.</w:t>
      </w:r>
    </w:p>
    <w:p>
      <w:pPr>
        <w:pStyle w:val="ListBullet"/>
        <w:spacing w:before="0" w:after="60" w:line="276" w:lineRule="auto"/>
      </w:pPr>
      <w:r>
        <w:rPr>
          <w:rFonts w:ascii="Segoe UI" w:hAnsi="Segoe UI"/>
          <w:b/>
          <w:color w:val="0B192C"/>
        </w:rPr>
        <w:t>• Risk: Instructor Feedback Scalability | Mitigation:</w:t>
      </w:r>
      <w:r>
        <w:rPr>
          <w:rFonts w:ascii="Segoe UI" w:hAnsi="Segoe UI"/>
          <w:color w:val="212529"/>
        </w:rPr>
        <w:t xml:space="preserve"> Introduce structured self-evaluation rubrics and peer review circles, keeping instructor review focused on capstone milestone submissions.</w:t>
      </w:r>
    </w:p>
    <w:p>
      <w:pPr>
        <w:pStyle w:val="ListBullet"/>
        <w:spacing w:before="0" w:after="60" w:line="276" w:lineRule="auto"/>
      </w:pPr>
      <w:r>
        <w:rPr>
          <w:rFonts w:ascii="Segoe UI" w:hAnsi="Segoe UI"/>
          <w:b/>
          <w:color w:val="0B192C"/>
        </w:rPr>
        <w:t>• Risk: Founder Key-Person Dependency | Mitigation:</w:t>
      </w:r>
      <w:r>
        <w:rPr>
          <w:rFonts w:ascii="Segoe UI" w:hAnsi="Segoe UI"/>
          <w:color w:val="212529"/>
        </w:rPr>
        <w:t xml:space="preserve"> Maintain documented curricula and operational playbooks from Day 1; designate trusted domain advisors per pillar.</w:t>
      </w:r>
    </w:p>
    <w:p>
      <w:pPr>
        <w:keepNext/>
        <w:spacing w:before="360" w:after="120"/>
      </w:pPr>
      <w:r>
        <w:rPr>
          <w:rFonts w:ascii="Segoe UI" w:hAnsi="Segoe UI"/>
          <w:b/>
          <w:color w:val="0B192C"/>
          <w:sz w:val="30"/>
        </w:rPr>
        <w:t>10. Discussion Prompts for L. Subramani (Feedback &amp; Alignment)</w:t>
      </w:r>
    </w:p>
    <w:p>
      <w:pPr>
        <w:spacing w:before="0" w:after="100" w:line="276" w:lineRule="auto"/>
      </w:pPr>
      <w:r>
        <w:rPr>
          <w:rFonts w:ascii="Segoe UI" w:hAnsi="Segoe UI"/>
          <w:color w:val="212529"/>
        </w:rPr>
        <w:t>To finalize Phase 1 curriculum production and educator workflows, your specific insights on the following five focal points are requested:</w:t>
      </w:r>
    </w:p>
    <w:p>
      <w:pPr>
        <w:keepNext/>
        <w:spacing w:before="240" w:after="80"/>
      </w:pPr>
      <w:r>
        <w:rPr>
          <w:rFonts w:ascii="Segoe UI" w:hAnsi="Segoe UI"/>
          <w:b/>
          <w:color w:val="0072BC"/>
          <w:sz w:val="24"/>
        </w:rPr>
        <w:t>Prompt 1: Curriculum Sequencing &amp; Fast-Track Assessment</w:t>
      </w:r>
    </w:p>
    <w:p>
      <w:pPr>
        <w:spacing w:before="0" w:after="100" w:line="276" w:lineRule="auto"/>
      </w:pPr>
      <w:r>
        <w:rPr>
          <w:rFonts w:ascii="Segoe UI" w:hAnsi="Segoe UI"/>
          <w:color w:val="212529"/>
        </w:rPr>
        <w:t>Does the proposed four-track structure (Foundations -&gt; Corporate Writing -&gt; Executive Verbal Fluency -&gt; Journalism/Advocacy) align with your pedagogical approach? How should we structure an entry-level assessment that allows advanced screen-reader users to skip Track A and enter directly into Track B?</w:t>
      </w:r>
    </w:p>
    <w:p>
      <w:pPr>
        <w:keepNext/>
        <w:spacing w:before="240" w:after="80"/>
      </w:pPr>
      <w:r>
        <w:rPr>
          <w:rFonts w:ascii="Segoe UI" w:hAnsi="Segoe UI"/>
          <w:b/>
          <w:color w:val="0072BC"/>
          <w:sz w:val="24"/>
        </w:rPr>
        <w:t>Prompt 2: Audio-First Lesson Length &amp; Pedagogical Structure</w:t>
      </w:r>
    </w:p>
    <w:p>
      <w:pPr>
        <w:spacing w:before="0" w:after="100" w:line="276" w:lineRule="auto"/>
      </w:pPr>
      <w:r>
        <w:rPr>
          <w:rFonts w:ascii="Segoe UI" w:hAnsi="Segoe UI"/>
          <w:color w:val="212529"/>
        </w:rPr>
        <w:t>For visually impaired adults learning professional English, what lesson duration and cadence have proven most effective in your experience? (e.g. 5-minute focused micro-lessons with drills vs. 20-minute comprehensive lecture masterclasses).</w:t>
      </w:r>
    </w:p>
    <w:p>
      <w:pPr>
        <w:keepNext/>
        <w:spacing w:before="240" w:after="80"/>
      </w:pPr>
      <w:r>
        <w:rPr>
          <w:rFonts w:ascii="Segoe UI" w:hAnsi="Segoe UI"/>
          <w:b/>
          <w:color w:val="0072BC"/>
          <w:sz w:val="24"/>
        </w:rPr>
        <w:t>Prompt 3: The Audio-to-Text Writing Bridge</w:t>
      </w:r>
    </w:p>
    <w:p>
      <w:pPr>
        <w:spacing w:before="0" w:after="100" w:line="276" w:lineRule="auto"/>
      </w:pPr>
      <w:r>
        <w:rPr>
          <w:rFonts w:ascii="Segoe UI" w:hAnsi="Segoe UI"/>
          <w:color w:val="212529"/>
        </w:rPr>
        <w:t>When teaching corporate writing (emails, summaries, reports), how should audio instruction connect to text editing for screen reader users? What specific text exercises (e.g. editing intentional errors, rewriting ambiguous memos) should students complete?</w:t>
      </w:r>
    </w:p>
    <w:p>
      <w:pPr>
        <w:keepNext/>
        <w:spacing w:before="240" w:after="80"/>
      </w:pPr>
      <w:r>
        <w:rPr>
          <w:rFonts w:ascii="Segoe UI" w:hAnsi="Segoe UI"/>
          <w:b/>
          <w:color w:val="0072BC"/>
          <w:sz w:val="24"/>
        </w:rPr>
        <w:t>Prompt 4: Copyediting Rubrics &amp; Early CopyAudit Heuristics</w:t>
      </w:r>
    </w:p>
    <w:p>
      <w:pPr>
        <w:spacing w:before="0" w:after="100" w:line="276" w:lineRule="auto"/>
      </w:pPr>
      <w:r>
        <w:rPr>
          <w:rFonts w:ascii="Segoe UI" w:hAnsi="Segoe UI"/>
          <w:color w:val="212529"/>
        </w:rPr>
        <w:t>When you copyedit student work, what are the top 3 to 5 common errors or habits you look for first (e.g. passive voice overuse, vague phrasing, structural clutter)? Defining these rules will serve as the exact blueprint for our Year Two CopyAudit engine.</w:t>
      </w:r>
    </w:p>
    <w:p>
      <w:pPr>
        <w:keepNext/>
        <w:spacing w:before="240" w:after="80"/>
      </w:pPr>
      <w:r>
        <w:rPr>
          <w:rFonts w:ascii="Segoe UI" w:hAnsi="Segoe UI"/>
          <w:b/>
          <w:color w:val="0072BC"/>
          <w:sz w:val="24"/>
        </w:rPr>
        <w:t>Prompt 5: Peer Circles &amp; Scalable Evaluation Mechanics</w:t>
      </w:r>
    </w:p>
    <w:p>
      <w:pPr>
        <w:spacing w:before="0" w:after="100" w:line="276" w:lineRule="auto"/>
      </w:pPr>
      <w:r>
        <w:rPr>
          <w:rFonts w:ascii="Segoe UI" w:hAnsi="Segoe UI"/>
          <w:color w:val="212529"/>
        </w:rPr>
        <w:t>How can we best structure peer writing circles so that learners give and receive meaningful feedback on business writing without requiring you to manually line-edit every submission as cohorts expand?</w:t>
      </w:r>
    </w:p>
    <w:p>
      <w:pPr>
        <w:keepNext/>
        <w:spacing w:before="360" w:after="120"/>
      </w:pPr>
      <w:r>
        <w:rPr>
          <w:rFonts w:ascii="Segoe UI" w:hAnsi="Segoe UI"/>
          <w:b/>
          <w:color w:val="0B192C"/>
          <w:sz w:val="30"/>
        </w:rPr>
        <w:t>11. Immediate Next Steps &amp; Phase 1 Kick-Off</w:t>
      </w:r>
    </w:p>
    <w:p>
      <w:pPr>
        <w:pStyle w:val="ListBullet"/>
        <w:spacing w:before="0" w:after="60" w:line="276" w:lineRule="auto"/>
      </w:pPr>
      <w:r>
        <w:rPr>
          <w:rFonts w:ascii="Segoe UI" w:hAnsi="Segoe UI"/>
          <w:b/>
          <w:color w:val="0B192C"/>
        </w:rPr>
        <w:t>1. Leadership Alignment:</w:t>
      </w:r>
      <w:r>
        <w:rPr>
          <w:rFonts w:ascii="Segoe UI" w:hAnsi="Segoe UI"/>
          <w:color w:val="212529"/>
        </w:rPr>
        <w:t xml:space="preserve"> L. Subramani reviews this Version 2.1 blueprint and shares feedback on Section 10 prompts.</w:t>
      </w:r>
    </w:p>
    <w:p>
      <w:pPr>
        <w:pStyle w:val="ListBullet"/>
        <w:spacing w:before="0" w:after="60" w:line="276" w:lineRule="auto"/>
      </w:pPr>
      <w:r>
        <w:rPr>
          <w:rFonts w:ascii="Segoe UI" w:hAnsi="Segoe UI"/>
          <w:b/>
          <w:color w:val="0B192C"/>
        </w:rPr>
        <w:t>2. Curriculum Lock:</w:t>
      </w:r>
      <w:r>
        <w:rPr>
          <w:rFonts w:ascii="Segoe UI" w:hAnsi="Segoe UI"/>
          <w:color w:val="212529"/>
        </w:rPr>
        <w:t xml:space="preserve"> Finalize syllabus and scripts for the initial 8 audio lessons across Tracks A and B.</w:t>
      </w:r>
    </w:p>
    <w:p>
      <w:pPr>
        <w:pStyle w:val="ListBullet"/>
        <w:spacing w:before="0" w:after="60" w:line="276" w:lineRule="auto"/>
      </w:pPr>
      <w:r>
        <w:rPr>
          <w:rFonts w:ascii="Segoe UI" w:hAnsi="Segoe UI"/>
          <w:b/>
          <w:color w:val="0B192C"/>
        </w:rPr>
        <w:t>3. Web Platform MVP Deployment:</w:t>
      </w:r>
      <w:r>
        <w:rPr>
          <w:rFonts w:ascii="Segoe UI" w:hAnsi="Segoe UI"/>
          <w:color w:val="212529"/>
        </w:rPr>
        <w:t xml:space="preserve"> Deploy MVP student portal, audio player, and educator authoring interface on the web.</w:t>
      </w:r>
    </w:p>
    <w:p>
      <w:pPr>
        <w:pStyle w:val="ListBullet"/>
        <w:spacing w:before="0" w:after="60" w:line="276" w:lineRule="auto"/>
      </w:pPr>
      <w:r>
        <w:rPr>
          <w:rFonts w:ascii="Segoe UI" w:hAnsi="Segoe UI"/>
          <w:b/>
          <w:color w:val="0B192C"/>
        </w:rPr>
        <w:t>4. Cohort 1 Enrolment:</w:t>
      </w:r>
      <w:r>
        <w:rPr>
          <w:rFonts w:ascii="Segoe UI" w:hAnsi="Segoe UI"/>
          <w:color w:val="212529"/>
        </w:rPr>
        <w:t xml:space="preserve"> Open applications for Cohort 1 (30 verified blind learners) and kick off Phase 1.</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8C96A0"/>
        <w:sz w:val="17"/>
      </w:rPr>
      <w:t>AMASAMYA Strategic Blueprint v2.1 | Platform &amp; Academy Master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