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Segoe UI" w:hAnsi="Segoe UI"/>
          <w:b/>
          <w:color w:val="0B192C"/>
          <w:sz w:val="48"/>
        </w:rPr>
        <w:t>AMASAMYA: Inclusive Technology &amp; Professional Learning Mega-Platform</w:t>
      </w:r>
    </w:p>
    <w:p>
      <w:pPr>
        <w:spacing w:before="0" w:after="480"/>
        <w:jc w:val="center"/>
      </w:pPr>
      <w:r>
        <w:rPr>
          <w:rFonts w:ascii="Segoe UI" w:hAnsi="Segoe UI"/>
          <w:i/>
          <w:color w:val="0096D6"/>
          <w:sz w:val="26"/>
        </w:rPr>
        <w:t>A Strategic Proposal &amp; Master Execution Blueprint for Equal Opportunity in Tech, Language, and Career Empowerment</w:t>
        <w:br/>
        <w:t>Co-Authored for Review &amp; Inputs by L. Subramani</w:t>
      </w:r>
    </w:p>
    <w:p>
      <w:pPr>
        <w:spacing w:after="360"/>
        <w:jc w:val="center"/>
      </w:pPr>
      <w:r>
        <w:rPr>
          <w:i/>
          <w:color w:val="646E78"/>
          <w:sz w:val="19"/>
        </w:rPr>
        <w:t>Project Leaders: Akhilesh Malani (Accessibility Architect &amp; Engineer) &amp; L. Subramani (Journalist, Author &amp; Communication Strategist)</w:t>
        <w:br/>
        <w:t>Date: August 2026 | Version: 1.0 (Draft Proposal)</w:t>
      </w:r>
    </w:p>
    <w:p>
      <w:pPr>
        <w:spacing w:after="120"/>
      </w:pPr>
    </w:p>
    <w:p>
      <w:pPr>
        <w:keepNext/>
        <w:spacing w:before="360" w:after="160"/>
      </w:pPr>
      <w:r>
        <w:rPr>
          <w:rFonts w:ascii="Segoe UI" w:hAnsi="Segoe UI"/>
          <w:b/>
          <w:color w:val="0B192C"/>
          <w:sz w:val="32"/>
        </w:rPr>
        <w:t>1. Executive Vision &amp; Core Mission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The mission of the AMASAMYA Mega-Platform is to create a unified, barrier-free ecosystem where persons with disabilities and mainstream society learn, build, and work hand-in-hand without any gaps. Accessibility must not be confined to software code audits or legal compliance checklists; it must extend to total human empowerment, language mastery, professional communication, and career independence.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AMASAMYA brings together two formidable pillars of leadership: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Akhilesh Malani (Technology &amp; Accessibility Lead):</w:t>
      </w:r>
      <w:r>
        <w:rPr>
          <w:rFonts w:ascii="Segoe UI" w:hAnsi="Segoe UI"/>
          <w:color w:val="2C3540"/>
        </w:rPr>
        <w:t xml:space="preserve"> Creator of the AMASAMYA accessibility audit suite across Android (Build 11), Chrome/Edge/Firefox extensions (v5.3), Web Audit Platform, VPAT 2.4 generator, and Indian national framework engines (GIGW 3.0 and IS 17802).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L. Subramani (English Language &amp; Professional Communication Lead):</w:t>
      </w:r>
      <w:r>
        <w:rPr>
          <w:rFonts w:ascii="Segoe UI" w:hAnsi="Segoe UI"/>
          <w:color w:val="2C3540"/>
        </w:rPr>
        <w:t xml:space="preserve"> Veteran journalist with 28+ years of experience (Chief Copy Editor at Deccan Herald), acclaimed author of 'Lights Out', communications strategist, and disability advocate who has mastered executive English communication as a visually impaired leader.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Together, this platform ensures that a learner - whether visually impaired, motor impaired, neurodivergent, or a non-native English speaker - receives world-class technical skills and executive-level written and verbal English mastery under one trusted brand.</w:t>
      </w:r>
    </w:p>
    <w:p>
      <w:pPr>
        <w:keepNext/>
        <w:spacing w:before="360" w:after="160"/>
      </w:pPr>
      <w:r>
        <w:rPr>
          <w:rFonts w:ascii="Segoe UI" w:hAnsi="Segoe UI"/>
          <w:b/>
          <w:color w:val="0B192C"/>
          <w:sz w:val="32"/>
        </w:rPr>
        <w:t>2. Market Landscape &amp; Strategic Gap Analysis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An extensive study of Indian and global solutions reveals critical gaps that prevent disabled individuals and non-native learners from reaching full career independence: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192C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Market Sector</w:t>
            </w:r>
          </w:p>
        </w:tc>
        <w:tc>
          <w:tcPr>
            <w:tcW w:type="dxa" w:w="3120"/>
            <w:shd w:fill="0B192C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Current Available Solutions &amp; Limitations</w:t>
            </w:r>
          </w:p>
        </w:tc>
        <w:tc>
          <w:tcPr>
            <w:tcW w:type="dxa" w:w="3120"/>
            <w:shd w:fill="0B192C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The AMASAMYA Advantage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Indian Government EdTech (DIKSHA, SWAYAM, Sugamya)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2C3540"/>
                <w:sz w:val="19"/>
              </w:rPr>
              <w:t>High course volume, but heavily reliant on inaccessible PDFs, image-only quizzes, and uncaptioned video streams. Sugamya offers accessible books but lacks interactive tech/code labs.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Provides screen-reader native interactive learning, accessible code sandboxes, and full GIGW 3.0 / IS 17802 compliance.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Global Accessibility Training (Deque Univ, W3C WAI)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2C3540"/>
                <w:sz w:val="19"/>
              </w:rPr>
              <w:t>Expensive ($150 - $300 USD/course), theoretical, desktop-centric, English-only, and lacks coverage of Indian national standards.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Affordable/Free tier for learners, interactive 'Learn-by-Auditing' sandboxes, and multi-lingual regional language support.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English Learning Apps (Duolingo, Grammarly, ELSA)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2C3540"/>
                <w:sz w:val="19"/>
              </w:rPr>
              <w:t>Heavy visual drag-and-drop mechanics unusable by screen reader users; focuses on casual phrases rather than corporate/journalism writing.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Screen-reader first English language pedagogy curated by L. Subramani, covering basic grammar up to executive corporate writing.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Global LMS Platforms (Canvas, Moodle, Coursera)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2C3540"/>
                <w:sz w:val="19"/>
              </w:rPr>
              <w:t>Passive file checkers that point out errors without teaching remediation; authoring tools lock out visually impaired educators.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Accessible LMS + Course Builder allowing blind educators to author lessons, record audio-first modules, and manage courses.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Segoe UI" w:hAnsi="Segoe UI"/>
          <w:b/>
          <w:color w:val="0B192C"/>
          <w:sz w:val="32"/>
        </w:rPr>
        <w:t>3. Core Pillars of the AMASAMYA Mega-Platform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The mega-platform is structured into four interconnected operational pillars:</w:t>
      </w:r>
    </w:p>
    <w:p>
      <w:pPr>
        <w:keepNext/>
        <w:spacing w:before="280" w:after="120"/>
      </w:pPr>
      <w:r>
        <w:rPr>
          <w:rFonts w:ascii="Segoe UI" w:hAnsi="Segoe UI"/>
          <w:b/>
          <w:color w:val="0096D6"/>
          <w:sz w:val="26"/>
        </w:rPr>
        <w:t>Pillar 1: School of English &amp; Professional Communication (Led by L. Subramani)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Curated specifically for screen reader users, braille display readers, and non-native speakers seeking corporate fluency: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Track A - English Foundations:</w:t>
      </w:r>
      <w:r>
        <w:rPr>
          <w:rFonts w:ascii="Segoe UI" w:hAnsi="Segoe UI"/>
          <w:color w:val="2C3540"/>
        </w:rPr>
        <w:t xml:space="preserve"> Phonics, sentence structure, screen-reader friendly grammar drills, and listening comprehension.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Track B - Professional &amp; Corporate Writing:</w:t>
      </w:r>
      <w:r>
        <w:rPr>
          <w:rFonts w:ascii="Segoe UI" w:hAnsi="Segoe UI"/>
          <w:color w:val="2C3540"/>
        </w:rPr>
        <w:t xml:space="preserve"> High-impact business email writing, technical documentation, copyediting, and eliminating ambiguity.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Track C - Executive Verbal Fluency:</w:t>
      </w:r>
      <w:r>
        <w:rPr>
          <w:rFonts w:ascii="Segoe UI" w:hAnsi="Segoe UI"/>
          <w:color w:val="2C3540"/>
        </w:rPr>
        <w:t xml:space="preserve"> Public speaking, meeting leadership, voice modulation, and interview mastery.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Track D - Journalism &amp; Content Craft:</w:t>
      </w:r>
      <w:r>
        <w:rPr>
          <w:rFonts w:ascii="Segoe UI" w:hAnsi="Segoe UI"/>
          <w:color w:val="2C3540"/>
        </w:rPr>
        <w:t xml:space="preserve"> Feature writing, blogging, alt-text authoring, and digital advocacy storytelling.</w:t>
      </w:r>
    </w:p>
    <w:p>
      <w:pPr>
        <w:keepNext/>
        <w:spacing w:before="280" w:after="120"/>
      </w:pPr>
      <w:r>
        <w:rPr>
          <w:rFonts w:ascii="Segoe UI" w:hAnsi="Segoe UI"/>
          <w:b/>
          <w:color w:val="0096D6"/>
          <w:sz w:val="26"/>
        </w:rPr>
        <w:t>Pillar 2: Accessibility &amp; Software Engineering Ecosystem (Led by Akhilesh Malani)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Leverages the existing AMASAMYA software suite: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Multi-Platform Engine:</w:t>
      </w:r>
      <w:r>
        <w:rPr>
          <w:rFonts w:ascii="Segoe UI" w:hAnsi="Segoe UI"/>
          <w:color w:val="2C3540"/>
        </w:rPr>
        <w:t xml:space="preserve"> Auditing UIs against WCAG 2.2 AA, GIGW 3.0, and IS 17802 across Android and Web.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AMASAMYA CodeLab:</w:t>
      </w:r>
      <w:r>
        <w:rPr>
          <w:rFonts w:ascii="Segoe UI" w:hAnsi="Segoe UI"/>
          <w:color w:val="2C3540"/>
        </w:rPr>
        <w:t xml:space="preserve"> Browser sandbox allowing developers to write live code and receive instant TalkBack / screen reader utterance simulations.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VPAT 2.4 ACR Exporter:</w:t>
      </w:r>
      <w:r>
        <w:rPr>
          <w:rFonts w:ascii="Segoe UI" w:hAnsi="Segoe UI"/>
          <w:color w:val="2C3540"/>
        </w:rPr>
        <w:t xml:space="preserve"> One-click generation of official compliance documents for government and enterprise deployment.</w:t>
      </w:r>
    </w:p>
    <w:p>
      <w:pPr>
        <w:keepNext/>
        <w:spacing w:before="280" w:after="120"/>
      </w:pPr>
      <w:r>
        <w:rPr>
          <w:rFonts w:ascii="Segoe UI" w:hAnsi="Segoe UI"/>
          <w:b/>
          <w:color w:val="0096D6"/>
          <w:sz w:val="26"/>
        </w:rPr>
        <w:t>Pillar 3: AMASAMYA CopyAudit &amp; Writing Assistant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A specialized writing evaluation engine built into the platform: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Automated Readability &amp; Grammar Evaluation:</w:t>
      </w:r>
      <w:r>
        <w:rPr>
          <w:rFonts w:ascii="Segoe UI" w:hAnsi="Segoe UI"/>
          <w:color w:val="2C3540"/>
        </w:rPr>
        <w:t xml:space="preserve"> Evaluates student essays and emails for grammatical accuracy, tone, jargon density, and clarity.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Audio &amp; Speech Cadence Analysis:</w:t>
      </w:r>
      <w:r>
        <w:rPr>
          <w:rFonts w:ascii="Segoe UI" w:hAnsi="Segoe UI"/>
          <w:color w:val="2C3540"/>
        </w:rPr>
        <w:t xml:space="preserve"> Speech rate and pronunciation feedback tuned for screen reader users and non-native speakers.</w:t>
      </w:r>
    </w:p>
    <w:p>
      <w:pPr>
        <w:keepNext/>
        <w:spacing w:before="280" w:after="120"/>
      </w:pPr>
      <w:r>
        <w:rPr>
          <w:rFonts w:ascii="Segoe UI" w:hAnsi="Segoe UI"/>
          <w:b/>
          <w:color w:val="0096D6"/>
          <w:sz w:val="26"/>
        </w:rPr>
        <w:t>Pillar 4: Blind-First Accessible LMS &amp; Authoring Engine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Empowers educators with disabilities to teach: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Accessible Learner Experience:</w:t>
      </w:r>
      <w:r>
        <w:rPr>
          <w:rFonts w:ascii="Segoe UI" w:hAnsi="Segoe UI"/>
          <w:color w:val="2C3540"/>
        </w:rPr>
        <w:t xml:space="preserve"> Keyboard-only, high-contrast, screen-reader optimized student portal.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Inclusive Educator Dashboard:</w:t>
      </w:r>
      <w:r>
        <w:rPr>
          <w:rFonts w:ascii="Segoe UI" w:hAnsi="Segoe UI"/>
          <w:color w:val="2C3540"/>
        </w:rPr>
        <w:t xml:space="preserve"> Accessible content creation tool allowing blind teachers to record audio micro-lectures, design quizzes, and publish courses without visual drag-and-drop dependencies.</w:t>
      </w:r>
    </w:p>
    <w:p>
      <w:pPr>
        <w:keepNext/>
        <w:spacing w:before="360" w:after="160"/>
      </w:pPr>
      <w:r>
        <w:rPr>
          <w:rFonts w:ascii="Segoe UI" w:hAnsi="Segoe UI"/>
          <w:b/>
          <w:color w:val="0B192C"/>
          <w:sz w:val="32"/>
        </w:rPr>
        <w:t>4. Proposed English &amp; Communication Curriculum Blueprint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This draft curriculum structure is submitted specifically for review, refinement, and expansion by L. Subramani: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96D6"/>
          </w:tcPr>
          <w:p>
            <w:r>
              <w:rPr>
                <w:b/>
                <w:color w:val="FFFFFF"/>
                <w:sz w:val="20"/>
              </w:rPr>
              <w:t>Module Level</w:t>
            </w:r>
          </w:p>
        </w:tc>
        <w:tc>
          <w:tcPr>
            <w:tcW w:type="dxa" w:w="3120"/>
            <w:shd w:fill="0096D6"/>
          </w:tcPr>
          <w:p>
            <w:r>
              <w:rPr>
                <w:b/>
                <w:color w:val="FFFFFF"/>
                <w:sz w:val="20"/>
              </w:rPr>
              <w:t>Core Competencies &amp; Topics</w:t>
            </w:r>
          </w:p>
        </w:tc>
        <w:tc>
          <w:tcPr>
            <w:tcW w:type="dxa" w:w="3120"/>
            <w:shd w:fill="0096D6"/>
          </w:tcPr>
          <w:p>
            <w:r>
              <w:rPr>
                <w:b/>
                <w:color w:val="FFFFFF"/>
                <w:sz w:val="20"/>
              </w:rPr>
              <w:t>Pedagogical Approach &amp; Audio Tools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Level 1: Foundation English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Parts of Speech, Tense Consistency, Sentence Construction, Vocabulary Expansion, Phonetics.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Audio-first grammar drills, spoken word repetition labs, braille display layout exercises.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Level 2: Corporate Communication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Business Emails, Status Reports, Technical Summaries, Copyediting, Removing Jargon.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AMASAMYA CopyAudit engine feedback, real-world case study rewrites, proofreading exercises.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Level 3: Executive Speech &amp; Interviews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Interview Preparation, Pitching Ideas, Public Speaking, Voice Modulation, Managing Meetings.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Recorded voice submission labs, mock interview practice, screen reader speed modulation tips.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Level 4: Masterclass in Writing &amp; Journalism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Long-form Feature Writing, Authoring Books/Articles, Digital Advocacy, Accessible Alt-Text Writing.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2C3540"/>
                <w:sz w:val="19"/>
              </w:rPr>
              <w:t>Mentorship masterclasses by L. Subramani, peer review circles, publication opportunities.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Segoe UI" w:hAnsi="Segoe UI"/>
          <w:b/>
          <w:color w:val="0B192C"/>
          <w:sz w:val="32"/>
        </w:rPr>
        <w:t>5. Phased 12-Month Implementation Roadmap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To ensure structured and sustainable execution, the mega-project is organized into three 4-month phases: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Phase 1 - Foundation &amp; Ecosystem Integration (Months 1 to 4):</w:t>
      </w:r>
      <w:r>
        <w:rPr>
          <w:rFonts w:ascii="Segoe UI" w:hAnsi="Segoe UI"/>
          <w:color w:val="2C3540"/>
        </w:rPr>
        <w:t xml:space="preserve"> Finalize curriculum outline with L. Subramani; launch initial accessible LMS web portal featuring English Foundation and WCAG/GIGW 3.0 introductory modules; integrate 1-click 'Learn in Academy' links inside AMASAMYA browser extensions and Android app.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Phase 2 - Interactive Sandboxes &amp; Writing Engines (Months 5 to 8):</w:t>
      </w:r>
      <w:r>
        <w:rPr>
          <w:rFonts w:ascii="Segoe UI" w:hAnsi="Segoe UI"/>
          <w:color w:val="2C3540"/>
        </w:rPr>
        <w:t xml:space="preserve"> Deploy AMASAMYA CodeLab (interactive code sandbox) and AMASAMYA CopyAudit (writing feedback engine); release audio-first spoken language practice labs; launch dual certification tracks.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Phase 3 - Educator Authoring &amp; Institutional Scaling (Months 9 to 12):</w:t>
      </w:r>
      <w:r>
        <w:rPr>
          <w:rFonts w:ascii="Segoe UI" w:hAnsi="Segoe UI"/>
          <w:color w:val="2C3540"/>
        </w:rPr>
        <w:t xml:space="preserve"> Release accessible course authoring dashboard for blind educators; establish institutional partnerships with universities, blind schools, and corporate DEI initiatives; launch Indic regional language learning paths.</w:t>
      </w:r>
    </w:p>
    <w:p>
      <w:pPr>
        <w:keepNext/>
        <w:spacing w:before="360" w:after="160"/>
      </w:pPr>
      <w:r>
        <w:rPr>
          <w:rFonts w:ascii="Segoe UI" w:hAnsi="Segoe UI"/>
          <w:b/>
          <w:color w:val="0B192C"/>
          <w:sz w:val="32"/>
        </w:rPr>
        <w:t>6. Key Discussion Points &amp; Feedback Requests for L. Subramani</w:t>
      </w:r>
    </w:p>
    <w:p>
      <w:pPr>
        <w:spacing w:before="0" w:after="120" w:line="276" w:lineRule="auto"/>
      </w:pPr>
      <w:r>
        <w:rPr>
          <w:rFonts w:ascii="Segoe UI" w:hAnsi="Segoe UI"/>
          <w:color w:val="2C3540"/>
        </w:rPr>
        <w:t>Akhilesh Malani invites L. Subramani to review this strategic proposal and share insights on the following key areas: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1. Curriculum Structure &amp; Scope:</w:t>
      </w:r>
      <w:r>
        <w:rPr>
          <w:rFonts w:ascii="Segoe UI" w:hAnsi="Segoe UI"/>
          <w:color w:val="2C3540"/>
        </w:rPr>
        <w:t xml:space="preserve"> Does the proposed 4-level English curriculum capture the most essential writing and verbal skills needed for career independence?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2. Audio-First Teaching Methodology:</w:t>
      </w:r>
      <w:r>
        <w:rPr>
          <w:rFonts w:ascii="Segoe UI" w:hAnsi="Segoe UI"/>
          <w:color w:val="2C3540"/>
        </w:rPr>
        <w:t xml:space="preserve"> How can we best design audio-first exercises that help screen reader users transition from computer audio to natural, persuasive human speaking skills?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3. CopyAudit Tool Integration:</w:t>
      </w:r>
      <w:r>
        <w:rPr>
          <w:rFonts w:ascii="Segoe UI" w:hAnsi="Segoe UI"/>
          <w:color w:val="2C3540"/>
        </w:rPr>
        <w:t xml:space="preserve"> What specific features should the AMASAMYA CopyAudit writing evaluation tool prioritize to help students learn copyediting and clarity?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B192C"/>
        </w:rPr>
        <w:t>4. Mentorship &amp; Student Engagement:</w:t>
      </w:r>
      <w:r>
        <w:rPr>
          <w:rFonts w:ascii="Segoe UI" w:hAnsi="Segoe UI"/>
          <w:color w:val="2C3540"/>
        </w:rPr>
        <w:t xml:space="preserve"> What approaches will best encourage blind students, non-native speakers, and professionals to engage in live masterclasses and peer writing circles?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C35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