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Usage and Capacity Costing Standard (Finance, v3)</w:t>
      </w:r>
    </w:p>
    <w:p>
      <w:r>
        <w:t>Applies to any comparison of automation platform cost at Northgate. Written after the 2024 renewal, when three exports disagreed with each other and the decision was made on the wrong totals.</w:t>
      </w:r>
    </w:p>
    <w:p>
      <w:pPr>
        <w:pStyle w:val="Heading2"/>
      </w:pPr>
      <w:r>
        <w:t>1. What counts as one business run</w:t>
      </w:r>
    </w:p>
    <w:p>
      <w:pPr>
        <w:pStyle w:val="ListBullet"/>
      </w:pPr>
      <w:r>
        <w:t>A business run is one first-attempt, successful, production execution of a workflow for one trigger event.</w:t>
      </w:r>
    </w:p>
    <w:p>
      <w:pPr>
        <w:pStyle w:val="ListBullet"/>
      </w:pPr>
      <w:r>
        <w:t>Not counted: failed executions, retry attempts and replays of earlier failures, manual or editor test runs, and runs from sandbox or scratch workflows (no workflow_id in the crosswalk).</w:t>
      </w:r>
    </w:p>
    <w:p>
      <w:pPr>
        <w:pStyle w:val="ListBullet"/>
      </w:pPr>
      <w:r>
        <w:t>Internal Northgate workflows (client_id INTERNAL) are real consumption and are counted.</w:t>
      </w:r>
    </w:p>
    <w:p>
      <w:pPr>
        <w:pStyle w:val="ListBullet"/>
      </w:pPr>
      <w:r>
        <w:t>Where an export lists the same day for the same workflow more than once because of overlapping export batches, the batch with the latest exported_at is the one to use (earlier batches are missing late-arriving runs).</w:t>
      </w:r>
    </w:p>
    <w:p>
      <w:pPr>
        <w:pStyle w:val="ListBullet"/>
      </w:pPr>
      <w:r>
        <w:t>During a parallel run (see the change log), the old build is the system of record. Count the old platform's runs from the 'parallel run started' date up to the day before cutover; the new platform's runs in that window are mirrors and are not counted. From the cutover date on, count the new platform only.</w:t>
      </w:r>
    </w:p>
    <w:p>
      <w:pPr>
        <w:pStyle w:val="ListBullet"/>
      </w:pPr>
      <w:r>
        <w:t>Incident days: where the incident log gives a duplicate_delivery_rate, the reported successful runs on affected workflows and days include duplicate deliveries. Business runs = reported / (1 + rate), rounded to the nearest whole run per workflow per day. For n8n, duplicates are removed by eventId (one run per workflow and eventId).</w:t>
      </w:r>
    </w:p>
    <w:p>
      <w:pPr>
        <w:pStyle w:val="ListBullet"/>
      </w:pPr>
      <w:r>
        <w:t>Days are UTC calendar days. Make and Zapier daily exports already carry calendar dates and are used as given; n8n timestamps carry a local UTC offset and must be converted to UTC before taking the date.</w:t>
      </w:r>
    </w:p>
    <w:p>
      <w:pPr>
        <w:pStyle w:val="Heading2"/>
      </w:pPr>
      <w:r>
        <w:t>2. Converting runs into billable units on a target platform</w:t>
      </w:r>
    </w:p>
    <w:p>
      <w:pPr>
        <w:pStyle w:val="ListBullet"/>
      </w:pPr>
      <w:r>
        <w:t>Make bills operations: runs x make_modules_per_run. Zapier bills tasks: runs x zapier_billable_steps. n8n bills executions: 1 per run.</w:t>
      </w:r>
    </w:p>
    <w:p>
      <w:pPr>
        <w:pStyle w:val="ListBullet"/>
      </w:pPr>
      <w:r>
        <w:t>The per-run unit counts come from the workflow catalog 'versions' sheet. Use the latest version with status 'deployed' and an effective_from on or before 30 Sep 2025. Draft versions are ignored.</w:t>
      </w:r>
    </w:p>
    <w:p>
      <w:pPr>
        <w:pStyle w:val="Heading2"/>
      </w:pPr>
      <w:r>
        <w:t>3. Forward 12-month cost</w:t>
      </w:r>
    </w:p>
    <w:p>
      <w:pPr>
        <w:pStyle w:val="ListBullet"/>
      </w:pPr>
      <w:r>
        <w:t>The forward year is Nov 2025 - Oct 2026. Each forward month repeats the volume of the same calendar month in the trailing window Oct 2024 - Sep 2025 (Nov 2025 uses Nov 2024, ..., Oct 2026 uses Oct 2024).</w:t>
      </w:r>
    </w:p>
    <w:p>
      <w:pPr>
        <w:pStyle w:val="ListBullet"/>
      </w:pPr>
      <w:r>
        <w:t>Clients that have churned (status churned/inactive, or an end date on or before 30 Sep 2025) drop out of the forward volume and out of any migration effort. Internal workflows stay in.</w:t>
      </w:r>
    </w:p>
    <w:p>
      <w:pPr>
        <w:pStyle w:val="ListBullet"/>
      </w:pPr>
      <w:r>
        <w:t>Subscription: choose the single plan per platform that gives the lowest 12-month cost (plan fees plus overage, with the contract adjustments). For n8n the plan must also cover the busiest forward month.</w:t>
      </w:r>
    </w:p>
    <w:p>
      <w:pPr>
        <w:pStyle w:val="ListBullet"/>
      </w:pPr>
      <w:r>
        <w:t>Convert USD to EUR with the latest published EURUSD rate for 2025-09 in fx_rates.csv (EUR = USD / rate). Ignore the USDEUR rows.</w:t>
      </w:r>
    </w:p>
    <w:p>
      <w:pPr>
        <w:pStyle w:val="ListBullet"/>
      </w:pPr>
      <w:r>
        <w:t>Do not round monthly figures except where the contract says overage is billed in rounded-up blocks.</w:t>
      </w:r>
    </w:p>
    <w:p>
      <w:pPr>
        <w:pStyle w:val="Heading2"/>
      </w:pPr>
      <w:r>
        <w:t>4. One-off migration effort</w:t>
      </w:r>
    </w:p>
    <w:p>
      <w:r>
        <w:t>To standardise on a platform, every in-scope workflow that is not already running on it must be rebuilt. A workflow's current platform is where it runs after any cutover in the change log (the catalog's platform column is a snapshot and can be out of date). Labour is costed at EUR 36 per hour.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Target platform</w:t>
            </w:r>
          </w:p>
        </w:tc>
        <w:tc>
          <w:tcPr>
            <w:tcW w:type="dxa" w:w="2880"/>
          </w:tcPr>
          <w:p>
            <w:r>
              <w:t>Base hours per workflow</w:t>
            </w:r>
          </w:p>
        </w:tc>
        <w:tc>
          <w:tcPr>
            <w:tcW w:type="dxa" w:w="2880"/>
          </w:tcPr>
          <w:p>
            <w:r>
              <w:t>Extra hours per node</w:t>
            </w:r>
          </w:p>
        </w:tc>
      </w:tr>
      <w:tr>
        <w:tc>
          <w:tcPr>
            <w:tcW w:type="dxa" w:w="2880"/>
          </w:tcPr>
          <w:p>
            <w:r>
              <w:t>Zapier</w:t>
            </w:r>
          </w:p>
        </w:tc>
        <w:tc>
          <w:tcPr>
            <w:tcW w:type="dxa" w:w="2880"/>
          </w:tcPr>
          <w:p>
            <w:r>
              <w:t>0.6</w:t>
            </w:r>
          </w:p>
        </w:tc>
        <w:tc>
          <w:tcPr>
            <w:tcW w:type="dxa" w:w="2880"/>
          </w:tcPr>
          <w:p>
            <w:r>
              <w:t>0.12</w:t>
            </w:r>
          </w:p>
        </w:tc>
      </w:tr>
      <w:tr>
        <w:tc>
          <w:tcPr>
            <w:tcW w:type="dxa" w:w="2880"/>
          </w:tcPr>
          <w:p>
            <w:r>
              <w:t>Make</w:t>
            </w:r>
          </w:p>
        </w:tc>
        <w:tc>
          <w:tcPr>
            <w:tcW w:type="dxa" w:w="2880"/>
          </w:tcPr>
          <w:p>
            <w:r>
              <w:t>2.0</w:t>
            </w:r>
          </w:p>
        </w:tc>
        <w:tc>
          <w:tcPr>
            <w:tcW w:type="dxa" w:w="2880"/>
          </w:tcPr>
          <w:p>
            <w:r>
              <w:t>0.40</w:t>
            </w:r>
          </w:p>
        </w:tc>
      </w:tr>
      <w:tr>
        <w:tc>
          <w:tcPr>
            <w:tcW w:type="dxa" w:w="2880"/>
          </w:tcPr>
          <w:p>
            <w:r>
              <w:t>n8n</w:t>
            </w:r>
          </w:p>
        </w:tc>
        <w:tc>
          <w:tcPr>
            <w:tcW w:type="dxa" w:w="2880"/>
          </w:tcPr>
          <w:p>
            <w:r>
              <w:t>3.0</w:t>
            </w:r>
          </w:p>
        </w:tc>
        <w:tc>
          <w:tcPr>
            <w:tcW w:type="dxa" w:w="2880"/>
          </w:tcPr>
          <w:p>
            <w:r>
              <w:t>0.55</w:t>
            </w:r>
          </w:p>
        </w:tc>
      </w:tr>
    </w:tbl>
    <w:p>
      <w:r>
        <w:t>Nodes come from the catalog 'workflows' sheet. If a workflow needs a connector that the target platform does not support (connector_support.csv), add 8 hours of custom build per unsupported connector.</w:t>
      </w:r>
    </w:p>
    <w:p>
      <w:pPr>
        <w:pStyle w:val="Heading2"/>
      </w:pPr>
      <w:r>
        <w:t>5. Decision rule</w:t>
      </w:r>
    </w:p>
    <w:p>
      <w:r>
        <w:t>Compare platforms on total 12-month cost in EUR = subscription (fees + overage) + one-off migration labour. Recommend the lowest. Show the components.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