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measurement standard (Harbor &amp; Pine, v2)</w:t>
      </w:r>
    </w:p>
    <w:p>
      <w:r>
        <w:t>Used whenever we decide where to put marketing money. It exists because three dashboards gave three different answers last year.</w:t>
      </w:r>
    </w:p>
    <w:p>
      <w:pPr>
        <w:pStyle w:val="Heading2"/>
      </w:pPr>
      <w:r>
        <w:t>1. What counts as a lead</w:t>
      </w:r>
    </w:p>
    <w:p>
      <w:r>
        <w:t>A lead is a unique person. Two records are the same person if they share a normalised email, or share a phone number and a surname. Form submissions and contact records count; a call counts only if it was answered and lasted at least 30 seconds. A person's channel is the channel of the earliest touch recorded for them in any system.</w:t>
      </w:r>
    </w:p>
    <w:p>
      <w:pPr>
        <w:pStyle w:val="Heading2"/>
      </w:pPr>
      <w:r>
        <w:t>2. What a lead is worth</w:t>
      </w:r>
    </w:p>
    <w:p>
      <w:r>
        <w:t>Contribution per won job = revenue minus materials, technician labour, sales commission, card fees, and refunds and chargebacks (see the cost plan). Within a channel, a lead is worth the same whether or not that person would have contacted us anyway.</w:t>
      </w:r>
    </w:p>
    <w:p>
      <w:pPr>
        <w:pStyle w:val="Heading2"/>
      </w:pPr>
      <w:r>
        <w:t>3. Which period describes current performance</w:t>
      </w:r>
    </w:p>
    <w:p>
      <w:r>
        <w:t>Use leads whose first touch falls in the last 13 weeks (1 Jul - 30 Sep 2025). Conversion moved after the sales process changed in April, so older leads do not describe today's conversion.</w:t>
      </w:r>
    </w:p>
    <w:p>
      <w:pPr>
        <w:pStyle w:val="Heading2"/>
      </w:pPr>
      <w:r>
        <w:t>4. Where the next dollar goes</w:t>
      </w:r>
    </w:p>
    <w:p>
      <w:r>
        <w:t>We rank channels by what the next marketing dollar returns, in contribution, at each channel's current weekly run-rate (average of the last 8 weeks). How volume responds to spend should be learned from the full 2024-2025 history.</w:t>
      </w:r>
    </w:p>
    <w:p>
      <w:r>
        <w:t>Brand search and retargeting were put through a geo holdout test. The other channels were not tested and are treated as fully incremental.</w:t>
      </w:r>
    </w:p>
    <w:p>
      <w:pPr>
        <w:pStyle w:val="Heading2"/>
      </w:pPr>
      <w:r>
        <w:t>5. Recommendation</w:t>
      </w:r>
    </w:p>
    <w:p>
      <w:r>
        <w:t>Name the one channel that should receive the next dollars, with the figures behind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