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CFO memo: instructions for the 2024 federal return</w:t>
      </w:r>
    </w:p>
    <w:p>
      <w:r>
        <w:t>Date: 12 September 2025. The 2024 return is on extension (due 15 October 2025). Please prepare the federal income tax computation and tell me what we owe.</w:t>
      </w:r>
    </w:p>
    <w:p>
      <w:pPr>
        <w:pStyle w:val="Heading2"/>
      </w:pPr>
      <w:r>
        <w:t>Elections and policies</w:t>
      </w:r>
    </w:p>
    <w:p>
      <w:pPr>
        <w:pStyle w:val="ListBullet"/>
      </w:pPr>
      <w:r>
        <w:t>Take every deduction and election the tax code allows for 2024. Do not elect out of bonus depreciation.</w:t>
      </w:r>
    </w:p>
    <w:p>
      <w:pPr>
        <w:pStyle w:val="ListBullet"/>
      </w:pPr>
      <w:r>
        <w:t>Make the section 179 election on the following assets, in this order, up to the maximum the law allows: (1) CNC machining center (Haas VF-10), up to its full cost; (2) Fiber laser cutting system, up to its full cost. Do not elect section 179 on any other asset.</w:t>
      </w:r>
    </w:p>
    <w:p>
      <w:pPr>
        <w:pStyle w:val="ListBullet"/>
      </w:pPr>
      <w:r>
        <w:t>Make the de minimis safe harbor election (Treas. Reg. 1.263(a)-1(f)) for the year. Our financial statements are audited. For books we capitalise purchases of USD 1,800 and above.</w:t>
      </w:r>
    </w:p>
    <w:p>
      <w:pPr>
        <w:pStyle w:val="ListBullet"/>
      </w:pPr>
      <w:r>
        <w:t>For research costs, count only employee wages (based on the percentage of time each person spent on qualified research, in the payroll register), contractor invoices and prototype materials. We do not allocate payroll taxes, benefits or overhead to research.</w:t>
      </w:r>
    </w:p>
    <w:p>
      <w:pPr>
        <w:pStyle w:val="ListBullet"/>
      </w:pPr>
      <w:r>
        <w:t>The 2023 and prior research and carryforward balances are in the prior-year workpapers. Estimated and extension payments are in tax_payments.csv.</w:t>
      </w:r>
    </w:p>
    <w:p>
      <w:pPr>
        <w:pStyle w:val="ListBullet"/>
      </w:pPr>
      <w:r>
        <w:t>Ignore any estimated tax underpayment penalty and any state tax effects beyond what is already in the ledger. Do not compute research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