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Usage and Capacity Costing Standard (Finance, v3)</w:t>
      </w:r>
    </w:p>
    <w:p>
      <w:r>
        <w:t>Applies to any comparison of automation platform cost at Northgate. Written after the 2024 renewal, when three exports disagreed with each other and the decision was made on the wrong totals.</w:t>
      </w:r>
    </w:p>
    <w:p>
      <w:pPr>
        <w:pStyle w:val="Heading2"/>
      </w:pPr>
      <w:r>
        <w:t>1. Unit of measure: the business run</w:t>
      </w:r>
    </w:p>
    <w:p>
      <w:r>
        <w:t>Platform invoices are not comparable because each vendor counts something different (operations, tasks, executions). Compare platforms on business runs. A business run is one first-attempt, successful, production execution of a workflow for one trigger event. Failures, retries, replays, manual or test runs and scratch workflows are not business runs. Internal Northgate workflows are real consumption and count. Every event is counted once, however many systems or exports happened to record it.</w:t>
      </w:r>
    </w:p>
    <w:p>
      <w:pPr>
        <w:pStyle w:val="Heading2"/>
      </w:pPr>
      <w:r>
        <w:t>2. Billable units on a target platform</w:t>
      </w:r>
    </w:p>
    <w:p>
      <w:r>
        <w:t>Make bills operations (modules executed per run), Zapier bills tasks (billable steps per run), n8n bills executions (one per run). Per-run counts for the build that is currently deployed are in the workflow catalog.</w:t>
      </w:r>
    </w:p>
    <w:p>
      <w:pPr>
        <w:pStyle w:val="Heading2"/>
      </w:pPr>
      <w:r>
        <w:t>3. Forward 12-month cost</w:t>
      </w:r>
    </w:p>
    <w:p>
      <w:pPr>
        <w:pStyle w:val="ListBullet"/>
      </w:pPr>
      <w:r>
        <w:t>The forward year is Nov 2025 - Oct 2026 and repeats, month for month, the trailing window Oct 2024 - Sep 2025, for clients we still have.</w:t>
      </w:r>
    </w:p>
    <w:p>
      <w:pPr>
        <w:pStyle w:val="ListBullet"/>
      </w:pPr>
      <w:r>
        <w:t>Subscription: one plan per platform for the year, chosen to minimise plan fees plus overage under the contract terms.</w:t>
      </w:r>
    </w:p>
    <w:p>
      <w:pPr>
        <w:pStyle w:val="ListBullet"/>
      </w:pPr>
      <w:r>
        <w:t>Northgate budgets in EUR. Use the most recent published rate for the latest month in fx_rates.csv.</w:t>
      </w:r>
    </w:p>
    <w:p>
      <w:pPr>
        <w:pStyle w:val="Heading2"/>
      </w:pPr>
      <w:r>
        <w:t>4. One-off migration effort</w:t>
      </w:r>
    </w:p>
    <w:p>
      <w:r>
        <w:t>To standardise on a platform, every in-scope workflow that is not already running on it must be rebuilt. Labour is costed at EUR 30 per hour.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Target platform</w:t>
            </w:r>
          </w:p>
        </w:tc>
        <w:tc>
          <w:tcPr>
            <w:tcW w:type="dxa" w:w="2880"/>
          </w:tcPr>
          <w:p>
            <w:r>
              <w:t>Base hours per workflow</w:t>
            </w:r>
          </w:p>
        </w:tc>
        <w:tc>
          <w:tcPr>
            <w:tcW w:type="dxa" w:w="2880"/>
          </w:tcPr>
          <w:p>
            <w:r>
              <w:t>Extra hours per node</w:t>
            </w:r>
          </w:p>
        </w:tc>
      </w:tr>
      <w:tr>
        <w:tc>
          <w:tcPr>
            <w:tcW w:type="dxa" w:w="2880"/>
          </w:tcPr>
          <w:p>
            <w:r>
              <w:t>Zapier</w:t>
            </w:r>
          </w:p>
        </w:tc>
        <w:tc>
          <w:tcPr>
            <w:tcW w:type="dxa" w:w="2880"/>
          </w:tcPr>
          <w:p>
            <w:r>
              <w:t>0.6</w:t>
            </w:r>
          </w:p>
        </w:tc>
        <w:tc>
          <w:tcPr>
            <w:tcW w:type="dxa" w:w="2880"/>
          </w:tcPr>
          <w:p>
            <w:r>
              <w:t>0.12</w:t>
            </w:r>
          </w:p>
        </w:tc>
      </w:tr>
      <w:tr>
        <w:tc>
          <w:tcPr>
            <w:tcW w:type="dxa" w:w="2880"/>
          </w:tcPr>
          <w:p>
            <w:r>
              <w:t>Make</w:t>
            </w:r>
          </w:p>
        </w:tc>
        <w:tc>
          <w:tcPr>
            <w:tcW w:type="dxa" w:w="2880"/>
          </w:tcPr>
          <w:p>
            <w:r>
              <w:t>2.0</w:t>
            </w:r>
          </w:p>
        </w:tc>
        <w:tc>
          <w:tcPr>
            <w:tcW w:type="dxa" w:w="2880"/>
          </w:tcPr>
          <w:p>
            <w:r>
              <w:t>0.40</w:t>
            </w:r>
          </w:p>
        </w:tc>
      </w:tr>
      <w:tr>
        <w:tc>
          <w:tcPr>
            <w:tcW w:type="dxa" w:w="2880"/>
          </w:tcPr>
          <w:p>
            <w:r>
              <w:t>n8n</w:t>
            </w:r>
          </w:p>
        </w:tc>
        <w:tc>
          <w:tcPr>
            <w:tcW w:type="dxa" w:w="2880"/>
          </w:tcPr>
          <w:p>
            <w:r>
              <w:t>3.0</w:t>
            </w:r>
          </w:p>
        </w:tc>
        <w:tc>
          <w:tcPr>
            <w:tcW w:type="dxa" w:w="2880"/>
          </w:tcPr>
          <w:p>
            <w:r>
              <w:t>0.55</w:t>
            </w:r>
          </w:p>
        </w:tc>
      </w:tr>
    </w:tbl>
    <w:p>
      <w:r>
        <w:t>Nodes come from the workflow catalog. If a workflow needs a connector that the target platform does not support (connector_support.csv), add 4 hours of custom build per unsupported connector.</w:t>
      </w:r>
    </w:p>
    <w:p>
      <w:pPr>
        <w:pStyle w:val="Heading2"/>
      </w:pPr>
      <w:r>
        <w:t>5. Decision rule</w:t>
      </w:r>
    </w:p>
    <w:p>
      <w:r>
        <w:t>Compare platforms on total 12-month cost in EUR = subscription (fees + overage) + one-off migration labour. Recommend the lowest and show the components.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