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27E21AB" w:rsidR="003420B7" w:rsidRDefault="00FD70AD">
      <w:pPr>
        <w:spacing w:line="240" w:lineRule="auto"/>
        <w:jc w:val="center"/>
        <w:rPr>
          <w:i/>
          <w:sz w:val="24"/>
          <w:szCs w:val="24"/>
        </w:rPr>
      </w:pPr>
      <w:r>
        <w:rPr>
          <w:sz w:val="24"/>
          <w:szCs w:val="24"/>
        </w:rPr>
        <w:t xml:space="preserve">Identifying Pipelines for </w:t>
      </w:r>
      <w:r w:rsidRPr="00FD70AD">
        <w:rPr>
          <w:i/>
          <w:iCs/>
          <w:sz w:val="24"/>
          <w:szCs w:val="24"/>
        </w:rPr>
        <w:t>D. Melanogaster</w:t>
      </w:r>
      <w:r>
        <w:rPr>
          <w:sz w:val="24"/>
          <w:szCs w:val="24"/>
        </w:rPr>
        <w:t xml:space="preserve"> Microbiome Sequence Data</w:t>
      </w:r>
    </w:p>
    <w:p w14:paraId="00000002" w14:textId="77777777" w:rsidR="003420B7" w:rsidRDefault="00000000">
      <w:pPr>
        <w:spacing w:line="240" w:lineRule="auto"/>
        <w:jc w:val="center"/>
        <w:rPr>
          <w:sz w:val="24"/>
          <w:szCs w:val="24"/>
        </w:rPr>
      </w:pPr>
      <w:r>
        <w:rPr>
          <w:sz w:val="24"/>
          <w:szCs w:val="24"/>
        </w:rPr>
        <w:t>Austen Miller</w:t>
      </w:r>
    </w:p>
    <w:p w14:paraId="00000003" w14:textId="77777777" w:rsidR="003420B7" w:rsidRDefault="00000000">
      <w:pPr>
        <w:spacing w:line="240" w:lineRule="auto"/>
        <w:jc w:val="center"/>
        <w:rPr>
          <w:sz w:val="24"/>
          <w:szCs w:val="24"/>
        </w:rPr>
      </w:pPr>
      <w:r>
        <w:rPr>
          <w:sz w:val="24"/>
          <w:szCs w:val="24"/>
        </w:rPr>
        <w:t>June 14, 2024</w:t>
      </w:r>
    </w:p>
    <w:p w14:paraId="00000004" w14:textId="77777777" w:rsidR="003420B7" w:rsidRDefault="003420B7">
      <w:pPr>
        <w:spacing w:line="240" w:lineRule="auto"/>
        <w:jc w:val="center"/>
        <w:rPr>
          <w:sz w:val="24"/>
          <w:szCs w:val="24"/>
        </w:rPr>
      </w:pPr>
    </w:p>
    <w:p w14:paraId="00000007" w14:textId="02568472" w:rsidR="003420B7" w:rsidRDefault="00000000" w:rsidP="005513E1">
      <w:pPr>
        <w:spacing w:line="240" w:lineRule="auto"/>
        <w:rPr>
          <w:color w:val="FF0000"/>
          <w:sz w:val="24"/>
          <w:szCs w:val="24"/>
        </w:rPr>
      </w:pPr>
      <w:r>
        <w:rPr>
          <w:sz w:val="24"/>
          <w:szCs w:val="24"/>
        </w:rPr>
        <w:tab/>
        <w:t xml:space="preserve">Diverse communities of </w:t>
      </w:r>
      <w:r w:rsidR="002F53EB">
        <w:rPr>
          <w:sz w:val="24"/>
          <w:szCs w:val="24"/>
        </w:rPr>
        <w:t>microorganisms, including bacteria, live within the guts of all animals. This symbiotic relationship is crucial for the health of the host by</w:t>
      </w:r>
      <w:r w:rsidR="00CD3B41">
        <w:rPr>
          <w:sz w:val="24"/>
          <w:szCs w:val="24"/>
        </w:rPr>
        <w:t xml:space="preserve"> assisting in digestion and even affecting </w:t>
      </w:r>
      <w:r w:rsidR="00CD3B41" w:rsidRPr="00CD3B41">
        <w:rPr>
          <w:sz w:val="24"/>
          <w:szCs w:val="24"/>
        </w:rPr>
        <w:t>the brain (Slavin 2013; Cryan and Dinan 2012)</w:t>
      </w:r>
      <w:r w:rsidR="002F53EB" w:rsidRPr="00CD3B41">
        <w:rPr>
          <w:sz w:val="24"/>
          <w:szCs w:val="24"/>
        </w:rPr>
        <w:t>. The</w:t>
      </w:r>
      <w:r w:rsidR="002F53EB">
        <w:rPr>
          <w:sz w:val="24"/>
          <w:szCs w:val="24"/>
        </w:rPr>
        <w:t xml:space="preserve"> host’s diet can significantly impact these microscopic communities, including altering the microbial species diversity and composition</w:t>
      </w:r>
      <w:r>
        <w:rPr>
          <w:sz w:val="24"/>
          <w:szCs w:val="24"/>
        </w:rPr>
        <w:t>.</w:t>
      </w:r>
      <w:r w:rsidR="002F53EB">
        <w:rPr>
          <w:sz w:val="24"/>
          <w:szCs w:val="24"/>
        </w:rPr>
        <w:t xml:space="preserve"> </w:t>
      </w:r>
      <w:r>
        <w:rPr>
          <w:sz w:val="24"/>
          <w:szCs w:val="24"/>
        </w:rPr>
        <w:t>Studying the composition of these communities in model organisms can provide insights into how they might function within humans.</w:t>
      </w:r>
    </w:p>
    <w:p w14:paraId="00000008" w14:textId="77777777" w:rsidR="003420B7" w:rsidRDefault="003420B7">
      <w:pPr>
        <w:spacing w:line="240" w:lineRule="auto"/>
        <w:rPr>
          <w:sz w:val="24"/>
          <w:szCs w:val="24"/>
        </w:rPr>
      </w:pPr>
    </w:p>
    <w:p w14:paraId="00000009" w14:textId="57D0F774" w:rsidR="003420B7" w:rsidRDefault="00000000">
      <w:pPr>
        <w:spacing w:line="240" w:lineRule="auto"/>
        <w:ind w:firstLine="720"/>
        <w:rPr>
          <w:sz w:val="24"/>
          <w:szCs w:val="24"/>
        </w:rPr>
      </w:pPr>
      <w:r>
        <w:rPr>
          <w:sz w:val="24"/>
          <w:szCs w:val="24"/>
        </w:rPr>
        <w:t xml:space="preserve">Full-length 16s rRNA sequencing uses the </w:t>
      </w:r>
      <w:r w:rsidR="002F53EB">
        <w:rPr>
          <w:sz w:val="24"/>
          <w:szCs w:val="24"/>
        </w:rPr>
        <w:t xml:space="preserve">16s </w:t>
      </w:r>
      <w:r>
        <w:rPr>
          <w:sz w:val="24"/>
          <w:szCs w:val="24"/>
        </w:rPr>
        <w:t xml:space="preserve">ribosomal </w:t>
      </w:r>
      <w:r w:rsidR="002F53EB">
        <w:rPr>
          <w:sz w:val="24"/>
          <w:szCs w:val="24"/>
        </w:rPr>
        <w:t xml:space="preserve">subunit </w:t>
      </w:r>
      <w:r>
        <w:rPr>
          <w:sz w:val="24"/>
          <w:szCs w:val="24"/>
        </w:rPr>
        <w:t xml:space="preserve">sequence </w:t>
      </w:r>
      <w:r w:rsidR="002F53EB">
        <w:rPr>
          <w:sz w:val="24"/>
          <w:szCs w:val="24"/>
        </w:rPr>
        <w:t xml:space="preserve">present in all </w:t>
      </w:r>
      <w:r>
        <w:rPr>
          <w:sz w:val="24"/>
          <w:szCs w:val="24"/>
        </w:rPr>
        <w:t xml:space="preserve">bacteria to analyze the taxonomic composition of bacterial communities, such as the microbiomes of animals. This is possible because ribosomal sequences mutate relatively slowly due to their importance in biological functioning. </w:t>
      </w:r>
      <w:proofErr w:type="gramStart"/>
      <w:r w:rsidR="00CD0571">
        <w:rPr>
          <w:sz w:val="24"/>
          <w:szCs w:val="24"/>
        </w:rPr>
        <w:t>However</w:t>
      </w:r>
      <w:proofErr w:type="gramEnd"/>
      <w:r w:rsidR="00CD0571">
        <w:rPr>
          <w:sz w:val="24"/>
          <w:szCs w:val="24"/>
        </w:rPr>
        <w:t xml:space="preserve"> there are 9 known variable regions in the 16s rRNA gene in which that sequence is able to distinguish bacteria at the genus and species level. </w:t>
      </w:r>
      <w:r>
        <w:rPr>
          <w:sz w:val="24"/>
          <w:szCs w:val="24"/>
        </w:rPr>
        <w:t xml:space="preserve">The similarity of the 16s gene within different bacteria with only a few </w:t>
      </w:r>
      <w:r w:rsidR="00CD0571">
        <w:rPr>
          <w:sz w:val="24"/>
          <w:szCs w:val="24"/>
        </w:rPr>
        <w:t>changes</w:t>
      </w:r>
      <w:r>
        <w:rPr>
          <w:sz w:val="24"/>
          <w:szCs w:val="24"/>
        </w:rPr>
        <w:t xml:space="preserve"> makes it useful as a tool to analyze community composition when sequenced.</w:t>
      </w:r>
    </w:p>
    <w:p w14:paraId="3250DCBC" w14:textId="77777777" w:rsidR="00BE19C5" w:rsidRDefault="00BE19C5">
      <w:pPr>
        <w:spacing w:line="240" w:lineRule="auto"/>
        <w:ind w:firstLine="720"/>
        <w:rPr>
          <w:color w:val="FF0000"/>
          <w:sz w:val="24"/>
          <w:szCs w:val="24"/>
        </w:rPr>
      </w:pPr>
    </w:p>
    <w:p w14:paraId="0000000C" w14:textId="3CB790EB" w:rsidR="003420B7" w:rsidRDefault="00000000" w:rsidP="005513E1">
      <w:pPr>
        <w:spacing w:line="240" w:lineRule="auto"/>
        <w:ind w:firstLine="720"/>
        <w:rPr>
          <w:color w:val="FF0000"/>
          <w:sz w:val="24"/>
          <w:szCs w:val="24"/>
        </w:rPr>
      </w:pPr>
      <w:r>
        <w:rPr>
          <w:sz w:val="24"/>
          <w:szCs w:val="24"/>
        </w:rPr>
        <w:t xml:space="preserve">In this </w:t>
      </w:r>
      <w:proofErr w:type="gramStart"/>
      <w:r>
        <w:rPr>
          <w:sz w:val="24"/>
          <w:szCs w:val="24"/>
        </w:rPr>
        <w:t>particular case</w:t>
      </w:r>
      <w:proofErr w:type="gramEnd"/>
      <w:r w:rsidR="00CD0571">
        <w:rPr>
          <w:sz w:val="24"/>
          <w:szCs w:val="24"/>
        </w:rPr>
        <w:t xml:space="preserve">, we will examine the effects of alcohol exposure on the microbiome of the fruit fly species </w:t>
      </w:r>
      <w:r w:rsidR="00CD0571" w:rsidRPr="00E178C2">
        <w:rPr>
          <w:i/>
          <w:iCs/>
          <w:sz w:val="24"/>
          <w:szCs w:val="24"/>
        </w:rPr>
        <w:t>Drosophila melanogaster</w:t>
      </w:r>
      <w:r w:rsidR="00CD0571">
        <w:rPr>
          <w:sz w:val="24"/>
          <w:szCs w:val="24"/>
        </w:rPr>
        <w:t xml:space="preserve">. </w:t>
      </w:r>
      <w:r w:rsidR="00CD0571" w:rsidRPr="00E178C2">
        <w:rPr>
          <w:i/>
          <w:iCs/>
          <w:sz w:val="24"/>
          <w:szCs w:val="24"/>
        </w:rPr>
        <w:t>D. melanogaster</w:t>
      </w:r>
      <w:r w:rsidR="00CD0571">
        <w:rPr>
          <w:sz w:val="24"/>
          <w:szCs w:val="24"/>
        </w:rPr>
        <w:t xml:space="preserve"> is useful as a model organism due to its relative ease of work, short generation times, and many genes analogous to humans. The lab of Dr. </w:t>
      </w:r>
      <w:proofErr w:type="spellStart"/>
      <w:r w:rsidR="00CD0571">
        <w:rPr>
          <w:sz w:val="24"/>
          <w:szCs w:val="24"/>
        </w:rPr>
        <w:t>Imilce</w:t>
      </w:r>
      <w:proofErr w:type="spellEnd"/>
      <w:r w:rsidR="00CD0571">
        <w:rPr>
          <w:sz w:val="24"/>
          <w:szCs w:val="24"/>
        </w:rPr>
        <w:t xml:space="preserve"> Rodriguez is interested in studying how alcohol can affect the gut microbiome using </w:t>
      </w:r>
      <w:r w:rsidR="00CD0571" w:rsidRPr="00E178C2">
        <w:rPr>
          <w:i/>
          <w:iCs/>
          <w:sz w:val="24"/>
          <w:szCs w:val="24"/>
        </w:rPr>
        <w:t>Drosophila</w:t>
      </w:r>
      <w:r w:rsidR="00CD0571">
        <w:rPr>
          <w:sz w:val="24"/>
          <w:szCs w:val="24"/>
        </w:rPr>
        <w:t xml:space="preserve"> as a model. Using Nanopore sequencing technology, members in her lab sequenced the 16s rRNA of the bacteria communities present in the guts of young and old flies exposed to 50% ethanol vapor 0, 1 or 2 times. </w:t>
      </w:r>
    </w:p>
    <w:p w14:paraId="0000000D" w14:textId="77777777" w:rsidR="003420B7" w:rsidRDefault="003420B7">
      <w:pPr>
        <w:spacing w:line="240" w:lineRule="auto"/>
        <w:ind w:firstLine="720"/>
        <w:rPr>
          <w:sz w:val="24"/>
          <w:szCs w:val="24"/>
        </w:rPr>
      </w:pPr>
    </w:p>
    <w:p w14:paraId="00000011" w14:textId="7C76DC63" w:rsidR="003420B7" w:rsidRDefault="00000000" w:rsidP="005513E1">
      <w:pPr>
        <w:spacing w:line="240" w:lineRule="auto"/>
        <w:ind w:firstLine="720"/>
        <w:rPr>
          <w:color w:val="FF0000"/>
          <w:sz w:val="24"/>
          <w:szCs w:val="24"/>
        </w:rPr>
      </w:pPr>
      <w:r>
        <w:rPr>
          <w:sz w:val="24"/>
          <w:szCs w:val="24"/>
        </w:rPr>
        <w:t xml:space="preserve">Oxford Nanopore </w:t>
      </w:r>
      <w:r w:rsidR="00CD0571">
        <w:rPr>
          <w:sz w:val="24"/>
          <w:szCs w:val="24"/>
        </w:rPr>
        <w:t xml:space="preserve">technology </w:t>
      </w:r>
      <w:r>
        <w:rPr>
          <w:sz w:val="24"/>
          <w:szCs w:val="24"/>
        </w:rPr>
        <w:t xml:space="preserve">allows </w:t>
      </w:r>
      <w:r w:rsidR="00CD0571">
        <w:rPr>
          <w:sz w:val="24"/>
          <w:szCs w:val="24"/>
        </w:rPr>
        <w:t>scientists to sequence long reads and thus the</w:t>
      </w:r>
      <w:r>
        <w:rPr>
          <w:sz w:val="24"/>
          <w:szCs w:val="24"/>
        </w:rPr>
        <w:t xml:space="preserve"> full-length 16s </w:t>
      </w:r>
      <w:r w:rsidR="00CD0571">
        <w:rPr>
          <w:sz w:val="24"/>
          <w:szCs w:val="24"/>
        </w:rPr>
        <w:t xml:space="preserve">rRNA gene </w:t>
      </w:r>
      <w:r>
        <w:rPr>
          <w:sz w:val="24"/>
          <w:szCs w:val="24"/>
        </w:rPr>
        <w:t>(~1500 bp</w:t>
      </w:r>
      <w:r w:rsidR="00CD0571">
        <w:rPr>
          <w:sz w:val="24"/>
          <w:szCs w:val="24"/>
        </w:rPr>
        <w:t>)</w:t>
      </w:r>
      <w:r>
        <w:rPr>
          <w:sz w:val="24"/>
          <w:szCs w:val="24"/>
        </w:rPr>
        <w:t xml:space="preserve">. This </w:t>
      </w:r>
      <w:proofErr w:type="gramStart"/>
      <w:r>
        <w:rPr>
          <w:sz w:val="24"/>
          <w:szCs w:val="24"/>
        </w:rPr>
        <w:t>is in contrast to</w:t>
      </w:r>
      <w:proofErr w:type="gramEnd"/>
      <w:r>
        <w:rPr>
          <w:sz w:val="24"/>
          <w:szCs w:val="24"/>
        </w:rPr>
        <w:t xml:space="preserve"> </w:t>
      </w:r>
      <w:r w:rsidR="00CD0571">
        <w:rPr>
          <w:sz w:val="24"/>
          <w:szCs w:val="24"/>
        </w:rPr>
        <w:t xml:space="preserve">other technologies, such as </w:t>
      </w:r>
      <w:r w:rsidR="00CD0571">
        <w:rPr>
          <w:color w:val="212121"/>
          <w:sz w:val="24"/>
          <w:szCs w:val="24"/>
          <w:highlight w:val="white"/>
        </w:rPr>
        <w:t xml:space="preserve">Next-Generation Sequencing (NGS) </w:t>
      </w:r>
      <w:r w:rsidR="00CD0571">
        <w:rPr>
          <w:sz w:val="24"/>
          <w:szCs w:val="24"/>
        </w:rPr>
        <w:t>Illumina,</w:t>
      </w:r>
      <w:r>
        <w:rPr>
          <w:sz w:val="24"/>
          <w:szCs w:val="24"/>
        </w:rPr>
        <w:t xml:space="preserve"> where much shorter sequences (~500 bp) </w:t>
      </w:r>
      <w:r w:rsidR="00CD0571">
        <w:rPr>
          <w:sz w:val="24"/>
          <w:szCs w:val="24"/>
        </w:rPr>
        <w:t>are generated</w:t>
      </w:r>
      <w:r>
        <w:rPr>
          <w:sz w:val="24"/>
          <w:szCs w:val="24"/>
        </w:rPr>
        <w:t>. These longer reads allow for increased specificity in taxonomic classification of bacteria</w:t>
      </w:r>
      <w:r w:rsidR="00CD0571">
        <w:rPr>
          <w:sz w:val="24"/>
          <w:szCs w:val="24"/>
        </w:rPr>
        <w:t xml:space="preserve"> since all nine variable regions are sequenced</w:t>
      </w:r>
      <w:r>
        <w:rPr>
          <w:sz w:val="24"/>
          <w:szCs w:val="24"/>
        </w:rPr>
        <w:t xml:space="preserve">. However, full-length 16S rRNA sequencing generates large amounts of data, which can be </w:t>
      </w:r>
      <w:r w:rsidR="00443541">
        <w:rPr>
          <w:sz w:val="24"/>
          <w:szCs w:val="24"/>
        </w:rPr>
        <w:t xml:space="preserve">complicated </w:t>
      </w:r>
      <w:r>
        <w:rPr>
          <w:sz w:val="24"/>
          <w:szCs w:val="24"/>
        </w:rPr>
        <w:t xml:space="preserve">to process and </w:t>
      </w:r>
      <w:r w:rsidR="00CD0571">
        <w:rPr>
          <w:sz w:val="24"/>
          <w:szCs w:val="24"/>
        </w:rPr>
        <w:t xml:space="preserve">require </w:t>
      </w:r>
      <w:r>
        <w:rPr>
          <w:sz w:val="24"/>
          <w:szCs w:val="24"/>
        </w:rPr>
        <w:t xml:space="preserve">substantial computational resources for analysis. Standardization across different laboratories and studies is essential but challenging to achieve. </w:t>
      </w:r>
      <w:r w:rsidR="00CD0571">
        <w:rPr>
          <w:color w:val="212121"/>
          <w:sz w:val="24"/>
          <w:szCs w:val="24"/>
        </w:rPr>
        <w:t xml:space="preserve">Nanopore sequencing is advantageous </w:t>
      </w:r>
      <w:r w:rsidR="00443541">
        <w:rPr>
          <w:color w:val="212121"/>
          <w:sz w:val="24"/>
          <w:szCs w:val="24"/>
        </w:rPr>
        <w:t xml:space="preserve">for various reasons, including </w:t>
      </w:r>
      <w:r w:rsidR="005513E1">
        <w:rPr>
          <w:color w:val="212121"/>
          <w:sz w:val="24"/>
          <w:szCs w:val="24"/>
        </w:rPr>
        <w:t>being cheaper</w:t>
      </w:r>
      <w:r w:rsidR="00443541">
        <w:rPr>
          <w:color w:val="212121"/>
          <w:sz w:val="24"/>
          <w:szCs w:val="24"/>
        </w:rPr>
        <w:t xml:space="preserve"> </w:t>
      </w:r>
      <w:r w:rsidR="005513E1">
        <w:rPr>
          <w:color w:val="212121"/>
          <w:sz w:val="24"/>
          <w:szCs w:val="24"/>
        </w:rPr>
        <w:t>than</w:t>
      </w:r>
      <w:r w:rsidR="00443541">
        <w:rPr>
          <w:color w:val="212121"/>
          <w:sz w:val="24"/>
          <w:szCs w:val="24"/>
        </w:rPr>
        <w:t xml:space="preserve"> Illumina, </w:t>
      </w:r>
      <w:r w:rsidR="005513E1">
        <w:rPr>
          <w:color w:val="212121"/>
          <w:sz w:val="24"/>
          <w:szCs w:val="24"/>
        </w:rPr>
        <w:t xml:space="preserve">having </w:t>
      </w:r>
      <w:r w:rsidR="00443541">
        <w:rPr>
          <w:color w:val="212121"/>
          <w:sz w:val="24"/>
          <w:szCs w:val="24"/>
        </w:rPr>
        <w:t>long reads, which allows us for species-level resolution of bacteria communities, and</w:t>
      </w:r>
      <w:r w:rsidR="005513E1">
        <w:rPr>
          <w:color w:val="212121"/>
          <w:sz w:val="24"/>
          <w:szCs w:val="24"/>
        </w:rPr>
        <w:t>, despite inaccuracy compared to Illumina</w:t>
      </w:r>
      <w:r w:rsidR="00443541">
        <w:rPr>
          <w:color w:val="212121"/>
          <w:sz w:val="24"/>
          <w:szCs w:val="24"/>
        </w:rPr>
        <w:t>, the company is developing new chemistry that has allowed to reduce error rate close to 1</w:t>
      </w:r>
      <w:r w:rsidR="00443541" w:rsidRPr="00E178C2">
        <w:rPr>
          <w:color w:val="000000" w:themeColor="text1"/>
          <w:sz w:val="24"/>
          <w:szCs w:val="24"/>
        </w:rPr>
        <w:t>%</w:t>
      </w:r>
      <w:r w:rsidR="005513E1" w:rsidRPr="00E178C2">
        <w:rPr>
          <w:color w:val="000000" w:themeColor="text1"/>
          <w:sz w:val="24"/>
          <w:szCs w:val="24"/>
        </w:rPr>
        <w:t xml:space="preserve"> (Zhang et al., n.d.)</w:t>
      </w:r>
      <w:r w:rsidR="00443541" w:rsidRPr="00E178C2">
        <w:rPr>
          <w:color w:val="000000" w:themeColor="text1"/>
          <w:sz w:val="24"/>
          <w:szCs w:val="24"/>
        </w:rPr>
        <w:t>.</w:t>
      </w:r>
    </w:p>
    <w:p w14:paraId="00000012" w14:textId="77777777" w:rsidR="003420B7" w:rsidRDefault="003420B7">
      <w:pPr>
        <w:spacing w:line="240" w:lineRule="auto"/>
        <w:rPr>
          <w:sz w:val="24"/>
          <w:szCs w:val="24"/>
        </w:rPr>
      </w:pPr>
    </w:p>
    <w:p w14:paraId="00000016" w14:textId="6F5AA631" w:rsidR="003420B7" w:rsidRDefault="00000000" w:rsidP="005513E1">
      <w:pPr>
        <w:spacing w:line="240" w:lineRule="auto"/>
        <w:rPr>
          <w:color w:val="FF0000"/>
          <w:sz w:val="24"/>
          <w:szCs w:val="24"/>
        </w:rPr>
      </w:pPr>
      <w:r>
        <w:rPr>
          <w:sz w:val="24"/>
          <w:szCs w:val="24"/>
        </w:rPr>
        <w:tab/>
        <w:t xml:space="preserve">Unfortunately, the existing pipelines for full-length 16s sequence data analysis are not always consistently updated. The rapid advance of technology can make the old </w:t>
      </w:r>
      <w:r>
        <w:rPr>
          <w:sz w:val="24"/>
          <w:szCs w:val="24"/>
        </w:rPr>
        <w:lastRenderedPageBreak/>
        <w:t xml:space="preserve">analysis tools obsolete and difficult to replicate. </w:t>
      </w:r>
      <w:r w:rsidR="00443541">
        <w:rPr>
          <w:sz w:val="24"/>
          <w:szCs w:val="24"/>
        </w:rPr>
        <w:t xml:space="preserve">The goal of my summer project is to identify the best bioinformatic pipeline to analyze Nanopore full-length 16s </w:t>
      </w:r>
      <w:proofErr w:type="spellStart"/>
      <w:r w:rsidR="00443541">
        <w:rPr>
          <w:sz w:val="24"/>
          <w:szCs w:val="24"/>
        </w:rPr>
        <w:t>rRNAseq</w:t>
      </w:r>
      <w:proofErr w:type="spellEnd"/>
      <w:r w:rsidR="00443541">
        <w:rPr>
          <w:sz w:val="24"/>
          <w:szCs w:val="24"/>
        </w:rPr>
        <w:t xml:space="preserve"> in our lab to obtain information not only about bacteria abundance and composition but also about alpha and beta diversity. I will use the 16s </w:t>
      </w:r>
      <w:proofErr w:type="spellStart"/>
      <w:r w:rsidR="00443541">
        <w:rPr>
          <w:sz w:val="24"/>
          <w:szCs w:val="24"/>
        </w:rPr>
        <w:t>rRNAseq</w:t>
      </w:r>
      <w:proofErr w:type="spellEnd"/>
      <w:r w:rsidR="00443541">
        <w:rPr>
          <w:sz w:val="24"/>
          <w:szCs w:val="24"/>
        </w:rPr>
        <w:t xml:space="preserve"> data previously generated by the lab (explained above).</w:t>
      </w:r>
    </w:p>
    <w:p w14:paraId="00000017" w14:textId="77777777" w:rsidR="003420B7" w:rsidRDefault="003420B7">
      <w:pPr>
        <w:spacing w:line="240" w:lineRule="auto"/>
        <w:rPr>
          <w:sz w:val="24"/>
          <w:szCs w:val="24"/>
        </w:rPr>
      </w:pPr>
    </w:p>
    <w:p w14:paraId="00000023" w14:textId="3B1035A5" w:rsidR="003420B7" w:rsidRDefault="00000000" w:rsidP="005513E1">
      <w:pPr>
        <w:spacing w:line="240" w:lineRule="auto"/>
        <w:rPr>
          <w:color w:val="FF0000"/>
          <w:sz w:val="24"/>
          <w:szCs w:val="24"/>
        </w:rPr>
      </w:pPr>
      <w:r>
        <w:rPr>
          <w:sz w:val="24"/>
          <w:szCs w:val="24"/>
        </w:rPr>
        <w:tab/>
        <w:t>One of the pipelines we will be trying is the</w:t>
      </w:r>
      <w:r w:rsidR="00443541">
        <w:rPr>
          <w:sz w:val="24"/>
          <w:szCs w:val="24"/>
        </w:rPr>
        <w:t xml:space="preserve"> </w:t>
      </w:r>
      <w:proofErr w:type="spellStart"/>
      <w:r>
        <w:rPr>
          <w:sz w:val="24"/>
          <w:szCs w:val="24"/>
        </w:rPr>
        <w:t>NanoRTax</w:t>
      </w:r>
      <w:proofErr w:type="spellEnd"/>
      <w:r>
        <w:rPr>
          <w:sz w:val="24"/>
          <w:szCs w:val="24"/>
        </w:rPr>
        <w:t xml:space="preserve"> pipeline</w:t>
      </w:r>
      <w:r w:rsidR="00443541">
        <w:rPr>
          <w:sz w:val="24"/>
          <w:szCs w:val="24"/>
        </w:rPr>
        <w:t>.</w:t>
      </w:r>
      <w:r>
        <w:rPr>
          <w:sz w:val="24"/>
          <w:szCs w:val="24"/>
        </w:rPr>
        <w:t xml:space="preserve"> </w:t>
      </w:r>
      <w:proofErr w:type="spellStart"/>
      <w:r>
        <w:rPr>
          <w:sz w:val="24"/>
          <w:szCs w:val="24"/>
        </w:rPr>
        <w:t>NanoRTax</w:t>
      </w:r>
      <w:proofErr w:type="spellEnd"/>
      <w:r>
        <w:rPr>
          <w:sz w:val="24"/>
          <w:szCs w:val="24"/>
        </w:rPr>
        <w:t xml:space="preserve"> allows “...a </w:t>
      </w:r>
      <w:proofErr w:type="spellStart"/>
      <w:r>
        <w:rPr>
          <w:sz w:val="24"/>
          <w:szCs w:val="24"/>
        </w:rPr>
        <w:t>nextflow</w:t>
      </w:r>
      <w:proofErr w:type="spellEnd"/>
      <w:r>
        <w:rPr>
          <w:sz w:val="24"/>
          <w:szCs w:val="24"/>
        </w:rPr>
        <w:t xml:space="preserve">-based pipeline for bacterial taxonomy classification and sample diversity analysis of nanopore full-length 16S rRNA amplicon reads” (Rodríguez-Pérez, Ciuffreda, and Flores 2022).  We will also be working on developing our own pipelines using known tools for bacterial taxonomy classification and R for sample diversity analysis. The computational skills gained in the </w:t>
      </w:r>
      <w:r w:rsidR="00443541">
        <w:rPr>
          <w:sz w:val="24"/>
          <w:szCs w:val="24"/>
        </w:rPr>
        <w:t xml:space="preserve">IQBIO </w:t>
      </w:r>
      <w:r>
        <w:rPr>
          <w:sz w:val="24"/>
          <w:szCs w:val="24"/>
        </w:rPr>
        <w:t>program’s carpentries will be quite useful in working with these programs and understanding their results.</w:t>
      </w:r>
    </w:p>
    <w:p w14:paraId="00000024" w14:textId="77777777" w:rsidR="003420B7" w:rsidRDefault="003420B7">
      <w:pPr>
        <w:spacing w:line="240" w:lineRule="auto"/>
        <w:rPr>
          <w:sz w:val="24"/>
          <w:szCs w:val="24"/>
        </w:rPr>
      </w:pPr>
    </w:p>
    <w:p w14:paraId="00000025" w14:textId="2443F895" w:rsidR="003420B7" w:rsidRDefault="00000000">
      <w:pPr>
        <w:spacing w:line="240" w:lineRule="auto"/>
        <w:rPr>
          <w:sz w:val="24"/>
          <w:szCs w:val="24"/>
        </w:rPr>
      </w:pPr>
      <w:r>
        <w:rPr>
          <w:sz w:val="24"/>
          <w:szCs w:val="24"/>
        </w:rPr>
        <w:tab/>
        <w:t xml:space="preserve"> Possible challenges that we will be presented with are trouble with the computational tools being worked with, the details of</w:t>
      </w:r>
      <w:r>
        <w:rPr>
          <w:i/>
          <w:sz w:val="24"/>
          <w:szCs w:val="24"/>
        </w:rPr>
        <w:t xml:space="preserve"> D. melanogaster</w:t>
      </w:r>
      <w:r>
        <w:rPr>
          <w:sz w:val="24"/>
          <w:szCs w:val="24"/>
        </w:rPr>
        <w:t xml:space="preserve"> biology, and missing technical terms while working in Spanish and English.  To overcome these obstacles, I </w:t>
      </w:r>
      <w:r w:rsidR="00443541">
        <w:rPr>
          <w:sz w:val="24"/>
          <w:szCs w:val="24"/>
        </w:rPr>
        <w:t xml:space="preserve">will </w:t>
      </w:r>
      <w:r>
        <w:rPr>
          <w:sz w:val="24"/>
          <w:szCs w:val="24"/>
        </w:rPr>
        <w:t>communicate with the PI</w:t>
      </w:r>
      <w:r w:rsidR="00443541">
        <w:rPr>
          <w:sz w:val="24"/>
          <w:szCs w:val="24"/>
        </w:rPr>
        <w:t xml:space="preserve"> and </w:t>
      </w:r>
      <w:r>
        <w:rPr>
          <w:sz w:val="24"/>
          <w:szCs w:val="24"/>
        </w:rPr>
        <w:t xml:space="preserve">lab mates l and look for resources using the internet. </w:t>
      </w:r>
    </w:p>
    <w:p w14:paraId="00000026" w14:textId="77777777" w:rsidR="003420B7" w:rsidRDefault="003420B7">
      <w:pPr>
        <w:spacing w:line="240" w:lineRule="auto"/>
        <w:rPr>
          <w:sz w:val="24"/>
          <w:szCs w:val="24"/>
        </w:rPr>
      </w:pPr>
    </w:p>
    <w:p w14:paraId="00000027" w14:textId="77777777" w:rsidR="003420B7" w:rsidRDefault="003420B7">
      <w:pPr>
        <w:spacing w:line="240" w:lineRule="auto"/>
        <w:rPr>
          <w:sz w:val="24"/>
          <w:szCs w:val="24"/>
        </w:rPr>
      </w:pPr>
    </w:p>
    <w:p w14:paraId="00000028" w14:textId="77777777" w:rsidR="003420B7" w:rsidRDefault="003420B7">
      <w:pPr>
        <w:spacing w:line="240" w:lineRule="auto"/>
        <w:rPr>
          <w:sz w:val="24"/>
          <w:szCs w:val="24"/>
        </w:rPr>
      </w:pPr>
    </w:p>
    <w:p w14:paraId="00000029" w14:textId="77777777" w:rsidR="003420B7" w:rsidRDefault="003420B7">
      <w:pPr>
        <w:spacing w:line="240" w:lineRule="auto"/>
        <w:rPr>
          <w:sz w:val="24"/>
          <w:szCs w:val="24"/>
        </w:rPr>
      </w:pPr>
    </w:p>
    <w:p w14:paraId="4C511835" w14:textId="77777777" w:rsidR="005513E1" w:rsidRDefault="005513E1">
      <w:pPr>
        <w:spacing w:line="240" w:lineRule="auto"/>
        <w:rPr>
          <w:sz w:val="24"/>
          <w:szCs w:val="24"/>
        </w:rPr>
      </w:pPr>
    </w:p>
    <w:p w14:paraId="1B609512" w14:textId="77777777" w:rsidR="005513E1" w:rsidRDefault="005513E1">
      <w:pPr>
        <w:spacing w:line="240" w:lineRule="auto"/>
        <w:rPr>
          <w:sz w:val="24"/>
          <w:szCs w:val="24"/>
        </w:rPr>
      </w:pPr>
    </w:p>
    <w:p w14:paraId="5E426C7C" w14:textId="77777777" w:rsidR="005513E1" w:rsidRDefault="005513E1">
      <w:pPr>
        <w:spacing w:line="240" w:lineRule="auto"/>
        <w:rPr>
          <w:sz w:val="24"/>
          <w:szCs w:val="24"/>
        </w:rPr>
      </w:pPr>
    </w:p>
    <w:p w14:paraId="45152FDB" w14:textId="77777777" w:rsidR="005513E1" w:rsidRDefault="005513E1">
      <w:pPr>
        <w:spacing w:line="240" w:lineRule="auto"/>
        <w:rPr>
          <w:sz w:val="24"/>
          <w:szCs w:val="24"/>
        </w:rPr>
      </w:pPr>
    </w:p>
    <w:p w14:paraId="6A3D7E49" w14:textId="77777777" w:rsidR="005513E1" w:rsidRDefault="005513E1">
      <w:pPr>
        <w:spacing w:line="240" w:lineRule="auto"/>
        <w:rPr>
          <w:sz w:val="24"/>
          <w:szCs w:val="24"/>
        </w:rPr>
      </w:pPr>
    </w:p>
    <w:p w14:paraId="59AF0DB3" w14:textId="77777777" w:rsidR="005513E1" w:rsidRDefault="005513E1">
      <w:pPr>
        <w:spacing w:line="240" w:lineRule="auto"/>
        <w:rPr>
          <w:sz w:val="24"/>
          <w:szCs w:val="24"/>
        </w:rPr>
      </w:pPr>
    </w:p>
    <w:p w14:paraId="05C44421" w14:textId="77777777" w:rsidR="005513E1" w:rsidRDefault="005513E1">
      <w:pPr>
        <w:spacing w:line="240" w:lineRule="auto"/>
        <w:rPr>
          <w:sz w:val="24"/>
          <w:szCs w:val="24"/>
        </w:rPr>
      </w:pPr>
    </w:p>
    <w:p w14:paraId="29C2E3F6" w14:textId="77777777" w:rsidR="005513E1" w:rsidRDefault="005513E1">
      <w:pPr>
        <w:spacing w:line="240" w:lineRule="auto"/>
        <w:rPr>
          <w:sz w:val="24"/>
          <w:szCs w:val="24"/>
        </w:rPr>
      </w:pPr>
    </w:p>
    <w:p w14:paraId="31BFD8AE" w14:textId="77777777" w:rsidR="00CD3B41" w:rsidRDefault="00CD3B41">
      <w:pPr>
        <w:spacing w:line="240" w:lineRule="auto"/>
        <w:rPr>
          <w:sz w:val="24"/>
          <w:szCs w:val="24"/>
        </w:rPr>
      </w:pPr>
    </w:p>
    <w:p w14:paraId="32F8F49E" w14:textId="77777777" w:rsidR="00CD3B41" w:rsidRDefault="00CD3B41">
      <w:pPr>
        <w:spacing w:line="240" w:lineRule="auto"/>
        <w:rPr>
          <w:sz w:val="24"/>
          <w:szCs w:val="24"/>
        </w:rPr>
      </w:pPr>
    </w:p>
    <w:p w14:paraId="75B9C097" w14:textId="77777777" w:rsidR="00CD3B41" w:rsidRDefault="00CD3B41">
      <w:pPr>
        <w:spacing w:line="240" w:lineRule="auto"/>
        <w:rPr>
          <w:sz w:val="24"/>
          <w:szCs w:val="24"/>
        </w:rPr>
      </w:pPr>
    </w:p>
    <w:p w14:paraId="28B1C1C6" w14:textId="77777777" w:rsidR="00CD3B41" w:rsidRDefault="00CD3B41">
      <w:pPr>
        <w:spacing w:line="240" w:lineRule="auto"/>
        <w:rPr>
          <w:sz w:val="24"/>
          <w:szCs w:val="24"/>
        </w:rPr>
      </w:pPr>
    </w:p>
    <w:p w14:paraId="6EBF812A" w14:textId="77777777" w:rsidR="00CD3B41" w:rsidRDefault="00CD3B41">
      <w:pPr>
        <w:spacing w:line="240" w:lineRule="auto"/>
        <w:rPr>
          <w:sz w:val="24"/>
          <w:szCs w:val="24"/>
        </w:rPr>
      </w:pPr>
    </w:p>
    <w:p w14:paraId="37F347BB" w14:textId="77777777" w:rsidR="00CD3B41" w:rsidRDefault="00CD3B41">
      <w:pPr>
        <w:spacing w:line="240" w:lineRule="auto"/>
        <w:rPr>
          <w:sz w:val="24"/>
          <w:szCs w:val="24"/>
        </w:rPr>
      </w:pPr>
    </w:p>
    <w:p w14:paraId="3F34EEEA" w14:textId="77777777" w:rsidR="00CD3B41" w:rsidRDefault="00CD3B41">
      <w:pPr>
        <w:spacing w:line="240" w:lineRule="auto"/>
        <w:rPr>
          <w:sz w:val="24"/>
          <w:szCs w:val="24"/>
        </w:rPr>
      </w:pPr>
    </w:p>
    <w:p w14:paraId="2B7B8B04" w14:textId="77777777" w:rsidR="00CD3B41" w:rsidRDefault="00CD3B41">
      <w:pPr>
        <w:spacing w:line="240" w:lineRule="auto"/>
        <w:rPr>
          <w:sz w:val="24"/>
          <w:szCs w:val="24"/>
        </w:rPr>
      </w:pPr>
    </w:p>
    <w:p w14:paraId="1C21C454" w14:textId="77777777" w:rsidR="00CD3B41" w:rsidRDefault="00CD3B41">
      <w:pPr>
        <w:spacing w:line="240" w:lineRule="auto"/>
        <w:rPr>
          <w:sz w:val="24"/>
          <w:szCs w:val="24"/>
        </w:rPr>
      </w:pPr>
    </w:p>
    <w:p w14:paraId="6E1472E2" w14:textId="77777777" w:rsidR="00CD3B41" w:rsidRDefault="00CD3B41">
      <w:pPr>
        <w:spacing w:line="240" w:lineRule="auto"/>
        <w:rPr>
          <w:sz w:val="24"/>
          <w:szCs w:val="24"/>
        </w:rPr>
      </w:pPr>
    </w:p>
    <w:p w14:paraId="2A094EE5" w14:textId="77777777" w:rsidR="00CD3B41" w:rsidRDefault="00CD3B41">
      <w:pPr>
        <w:spacing w:line="240" w:lineRule="auto"/>
        <w:rPr>
          <w:sz w:val="24"/>
          <w:szCs w:val="24"/>
        </w:rPr>
      </w:pPr>
    </w:p>
    <w:p w14:paraId="3E0A360B" w14:textId="77777777" w:rsidR="00CD3B41" w:rsidRDefault="00CD3B41">
      <w:pPr>
        <w:spacing w:line="240" w:lineRule="auto"/>
        <w:rPr>
          <w:sz w:val="24"/>
          <w:szCs w:val="24"/>
        </w:rPr>
      </w:pPr>
    </w:p>
    <w:p w14:paraId="14B9E397" w14:textId="77777777" w:rsidR="00CD3B41" w:rsidRDefault="00CD3B41">
      <w:pPr>
        <w:spacing w:line="240" w:lineRule="auto"/>
        <w:rPr>
          <w:sz w:val="24"/>
          <w:szCs w:val="24"/>
        </w:rPr>
      </w:pPr>
    </w:p>
    <w:p w14:paraId="2252F496" w14:textId="77777777" w:rsidR="005513E1" w:rsidRDefault="005513E1">
      <w:pPr>
        <w:spacing w:line="240" w:lineRule="auto"/>
        <w:rPr>
          <w:sz w:val="24"/>
          <w:szCs w:val="24"/>
        </w:rPr>
      </w:pPr>
    </w:p>
    <w:p w14:paraId="693A8CB1" w14:textId="77777777" w:rsidR="00436B84" w:rsidRDefault="00436B84">
      <w:pPr>
        <w:spacing w:line="240" w:lineRule="auto"/>
        <w:rPr>
          <w:sz w:val="24"/>
          <w:szCs w:val="24"/>
        </w:rPr>
      </w:pPr>
    </w:p>
    <w:p w14:paraId="0000002A" w14:textId="77777777" w:rsidR="003420B7" w:rsidRPr="00436B84" w:rsidRDefault="00000000">
      <w:pPr>
        <w:spacing w:line="240" w:lineRule="auto"/>
        <w:jc w:val="center"/>
        <w:rPr>
          <w:sz w:val="24"/>
          <w:szCs w:val="24"/>
          <w:lang w:val="en-US"/>
        </w:rPr>
      </w:pPr>
      <w:r w:rsidRPr="00436B84">
        <w:rPr>
          <w:sz w:val="24"/>
          <w:szCs w:val="24"/>
          <w:lang w:val="en-US"/>
        </w:rPr>
        <w:lastRenderedPageBreak/>
        <w:t>References</w:t>
      </w:r>
    </w:p>
    <w:p w14:paraId="0000002B" w14:textId="77777777" w:rsidR="003420B7" w:rsidRPr="00436B84" w:rsidRDefault="003420B7">
      <w:pPr>
        <w:spacing w:line="240" w:lineRule="auto"/>
        <w:jc w:val="center"/>
        <w:rPr>
          <w:sz w:val="24"/>
          <w:szCs w:val="24"/>
          <w:lang w:val="en-US"/>
        </w:rPr>
      </w:pPr>
    </w:p>
    <w:p w14:paraId="1DD25A7D" w14:textId="250AE4BE" w:rsidR="00CD3B41" w:rsidRDefault="00CD3B41" w:rsidP="00CD3B41">
      <w:pPr>
        <w:spacing w:line="324" w:lineRule="auto"/>
        <w:ind w:left="880" w:hanging="440"/>
        <w:rPr>
          <w:sz w:val="24"/>
          <w:szCs w:val="24"/>
          <w:lang w:val="en-US"/>
        </w:rPr>
      </w:pPr>
      <w:r w:rsidRPr="00CD3B41">
        <w:rPr>
          <w:sz w:val="24"/>
          <w:szCs w:val="24"/>
          <w:lang w:val="en-US"/>
        </w:rPr>
        <w:t>Cryan, John F., and Timothy G. Dinan. 2012. “</w:t>
      </w:r>
      <w:r w:rsidRPr="00CD3B41">
        <w:rPr>
          <w:i/>
          <w:iCs/>
          <w:sz w:val="24"/>
          <w:szCs w:val="24"/>
          <w:lang w:val="en-US"/>
        </w:rPr>
        <w:t xml:space="preserve">Mind-Altering Microorganisms: The Impact of the Gut Microbiota on Brain and </w:t>
      </w:r>
      <w:proofErr w:type="spellStart"/>
      <w:r w:rsidRPr="00CD3B41">
        <w:rPr>
          <w:i/>
          <w:iCs/>
          <w:sz w:val="24"/>
          <w:szCs w:val="24"/>
          <w:lang w:val="en-US"/>
        </w:rPr>
        <w:t>Behaviour</w:t>
      </w:r>
      <w:proofErr w:type="spellEnd"/>
      <w:r w:rsidRPr="00CD3B41">
        <w:rPr>
          <w:sz w:val="24"/>
          <w:szCs w:val="24"/>
          <w:lang w:val="en-US"/>
        </w:rPr>
        <w:t xml:space="preserve">.” Nature Reviews. Neuroscience 13 (10): 701–12. </w:t>
      </w:r>
      <w:hyperlink r:id="rId5" w:history="1">
        <w:r w:rsidRPr="001C574C">
          <w:rPr>
            <w:rStyle w:val="Hyperlink"/>
            <w:sz w:val="24"/>
            <w:szCs w:val="24"/>
            <w:lang w:val="en-US"/>
          </w:rPr>
          <w:t>https://doi.org/10.1038/nrn3346</w:t>
        </w:r>
      </w:hyperlink>
      <w:r w:rsidRPr="00CD3B41">
        <w:rPr>
          <w:sz w:val="24"/>
          <w:szCs w:val="24"/>
          <w:lang w:val="en-US"/>
        </w:rPr>
        <w:t>.</w:t>
      </w:r>
    </w:p>
    <w:p w14:paraId="30A1A292" w14:textId="77777777" w:rsidR="00CD3B41" w:rsidRPr="00CD3B41" w:rsidRDefault="00CD3B41" w:rsidP="00CD3B41">
      <w:pPr>
        <w:spacing w:line="324" w:lineRule="auto"/>
        <w:ind w:left="880" w:hanging="440"/>
        <w:rPr>
          <w:sz w:val="24"/>
          <w:szCs w:val="24"/>
          <w:lang w:val="en-US"/>
        </w:rPr>
      </w:pPr>
    </w:p>
    <w:p w14:paraId="5D25721E" w14:textId="6A5D15A6" w:rsidR="00CD3B41" w:rsidRDefault="00CD3B41" w:rsidP="00CD3B41">
      <w:pPr>
        <w:spacing w:line="324" w:lineRule="auto"/>
        <w:ind w:left="880" w:hanging="440"/>
        <w:rPr>
          <w:sz w:val="24"/>
          <w:szCs w:val="24"/>
          <w:lang w:val="en-US"/>
        </w:rPr>
      </w:pPr>
      <w:r w:rsidRPr="00CD3B41">
        <w:rPr>
          <w:sz w:val="24"/>
          <w:szCs w:val="24"/>
          <w:lang w:val="en-US"/>
        </w:rPr>
        <w:t>Slavin, Joanne. 2013. “</w:t>
      </w:r>
      <w:r w:rsidRPr="00CD3B41">
        <w:rPr>
          <w:i/>
          <w:iCs/>
          <w:sz w:val="24"/>
          <w:szCs w:val="24"/>
          <w:lang w:val="en-US"/>
        </w:rPr>
        <w:t>Fiber and Prebiotics: Mechanisms and Health Benefits</w:t>
      </w:r>
      <w:r w:rsidRPr="00CD3B41">
        <w:rPr>
          <w:sz w:val="24"/>
          <w:szCs w:val="24"/>
          <w:lang w:val="en-US"/>
        </w:rPr>
        <w:t xml:space="preserve">.” Nutrients 5 (4): 1417–35. </w:t>
      </w:r>
      <w:hyperlink r:id="rId6" w:history="1">
        <w:r w:rsidRPr="001C574C">
          <w:rPr>
            <w:rStyle w:val="Hyperlink"/>
            <w:sz w:val="24"/>
            <w:szCs w:val="24"/>
            <w:lang w:val="en-US"/>
          </w:rPr>
          <w:t>https://doi.org/10.3390/nu5041417</w:t>
        </w:r>
      </w:hyperlink>
      <w:r w:rsidRPr="00CD3B41">
        <w:rPr>
          <w:sz w:val="24"/>
          <w:szCs w:val="24"/>
          <w:lang w:val="en-US"/>
        </w:rPr>
        <w:t>.</w:t>
      </w:r>
    </w:p>
    <w:p w14:paraId="3055C1B4" w14:textId="77777777" w:rsidR="00CD3B41" w:rsidRPr="00CD3B41" w:rsidRDefault="00CD3B41" w:rsidP="00CD3B41">
      <w:pPr>
        <w:spacing w:line="324" w:lineRule="auto"/>
        <w:ind w:left="880" w:hanging="440"/>
        <w:rPr>
          <w:sz w:val="24"/>
          <w:szCs w:val="24"/>
          <w:lang w:val="en-US"/>
        </w:rPr>
      </w:pPr>
    </w:p>
    <w:p w14:paraId="0000002C" w14:textId="746B8DA2" w:rsidR="003420B7" w:rsidRPr="00CD3B41" w:rsidRDefault="00000000">
      <w:pPr>
        <w:spacing w:line="324" w:lineRule="auto"/>
        <w:ind w:left="880" w:hanging="440"/>
        <w:rPr>
          <w:sz w:val="24"/>
          <w:szCs w:val="24"/>
          <w:lang w:val="es-PR"/>
        </w:rPr>
      </w:pPr>
      <w:r w:rsidRPr="00436B84">
        <w:rPr>
          <w:sz w:val="24"/>
          <w:szCs w:val="24"/>
          <w:lang w:val="en-US"/>
        </w:rPr>
        <w:t xml:space="preserve">Delahaye, Clara, and Jacques Nicolas. </w:t>
      </w:r>
      <w:r w:rsidRPr="00CD3B41">
        <w:rPr>
          <w:sz w:val="24"/>
          <w:szCs w:val="24"/>
        </w:rPr>
        <w:t>2021. “</w:t>
      </w:r>
      <w:r w:rsidRPr="00CD3B41">
        <w:rPr>
          <w:i/>
          <w:iCs/>
          <w:sz w:val="24"/>
          <w:szCs w:val="24"/>
        </w:rPr>
        <w:t>Sequencing DNA with Nanopores: Troubles and Biases.</w:t>
      </w:r>
      <w:r w:rsidRPr="00CD3B41">
        <w:rPr>
          <w:sz w:val="24"/>
          <w:szCs w:val="24"/>
        </w:rPr>
        <w:t xml:space="preserve">” </w:t>
      </w:r>
      <w:proofErr w:type="spellStart"/>
      <w:r w:rsidRPr="00CD3B41">
        <w:rPr>
          <w:i/>
          <w:sz w:val="24"/>
          <w:szCs w:val="24"/>
          <w:lang w:val="en-US"/>
        </w:rPr>
        <w:t>PLoS</w:t>
      </w:r>
      <w:proofErr w:type="spellEnd"/>
      <w:r w:rsidRPr="00CD3B41">
        <w:rPr>
          <w:i/>
          <w:sz w:val="24"/>
          <w:szCs w:val="24"/>
          <w:lang w:val="en-US"/>
        </w:rPr>
        <w:t xml:space="preserve"> ONE</w:t>
      </w:r>
      <w:r w:rsidRPr="00CD3B41">
        <w:rPr>
          <w:sz w:val="24"/>
          <w:szCs w:val="24"/>
          <w:lang w:val="en-US"/>
        </w:rPr>
        <w:t xml:space="preserve"> 16 (10): e0257521.</w:t>
      </w:r>
      <w:hyperlink r:id="rId7">
        <w:r w:rsidRPr="00CD3B41">
          <w:rPr>
            <w:sz w:val="24"/>
            <w:szCs w:val="24"/>
            <w:lang w:val="en-US"/>
          </w:rPr>
          <w:t xml:space="preserve"> </w:t>
        </w:r>
      </w:hyperlink>
      <w:hyperlink r:id="rId8">
        <w:r w:rsidRPr="00CD3B41">
          <w:rPr>
            <w:color w:val="1155CC"/>
            <w:sz w:val="24"/>
            <w:szCs w:val="24"/>
            <w:u w:val="single"/>
            <w:lang w:val="es-PR"/>
          </w:rPr>
          <w:t>https://doi.org/10.1371/journal.pone.0257521</w:t>
        </w:r>
      </w:hyperlink>
      <w:r w:rsidRPr="00CD3B41">
        <w:rPr>
          <w:sz w:val="24"/>
          <w:szCs w:val="24"/>
          <w:lang w:val="es-PR"/>
        </w:rPr>
        <w:t>.</w:t>
      </w:r>
    </w:p>
    <w:p w14:paraId="499FD921" w14:textId="77777777" w:rsidR="005513E1" w:rsidRPr="00CD3B41" w:rsidRDefault="005513E1">
      <w:pPr>
        <w:spacing w:line="324" w:lineRule="auto"/>
        <w:ind w:left="880" w:hanging="440"/>
        <w:rPr>
          <w:sz w:val="24"/>
          <w:szCs w:val="24"/>
          <w:lang w:val="es-PR"/>
        </w:rPr>
      </w:pPr>
    </w:p>
    <w:p w14:paraId="6DE50D49" w14:textId="77777777" w:rsidR="005513E1" w:rsidRPr="00E178C2" w:rsidRDefault="005513E1" w:rsidP="005513E1">
      <w:pPr>
        <w:ind w:left="880" w:hanging="480"/>
        <w:rPr>
          <w:sz w:val="24"/>
          <w:szCs w:val="24"/>
          <w:lang w:val="es-ES"/>
        </w:rPr>
      </w:pPr>
      <w:r w:rsidRPr="00CD3B41">
        <w:rPr>
          <w:sz w:val="24"/>
          <w:szCs w:val="24"/>
        </w:rPr>
        <w:t xml:space="preserve">Zhang, </w:t>
      </w:r>
      <w:proofErr w:type="spellStart"/>
      <w:r w:rsidRPr="00CD3B41">
        <w:rPr>
          <w:sz w:val="24"/>
          <w:szCs w:val="24"/>
        </w:rPr>
        <w:t>Tianyuan</w:t>
      </w:r>
      <w:proofErr w:type="spellEnd"/>
      <w:r w:rsidRPr="00CD3B41">
        <w:rPr>
          <w:sz w:val="24"/>
          <w:szCs w:val="24"/>
        </w:rPr>
        <w:t xml:space="preserve">, </w:t>
      </w:r>
      <w:proofErr w:type="spellStart"/>
      <w:r w:rsidRPr="00CD3B41">
        <w:rPr>
          <w:sz w:val="24"/>
          <w:szCs w:val="24"/>
        </w:rPr>
        <w:t>Hanzhou</w:t>
      </w:r>
      <w:proofErr w:type="spellEnd"/>
      <w:r w:rsidRPr="00CD3B41">
        <w:rPr>
          <w:sz w:val="24"/>
          <w:szCs w:val="24"/>
        </w:rPr>
        <w:t xml:space="preserve"> Li, Silin Ma, Jian Cao, Hao Liao, </w:t>
      </w:r>
      <w:proofErr w:type="spellStart"/>
      <w:r w:rsidRPr="00CD3B41">
        <w:rPr>
          <w:sz w:val="24"/>
          <w:szCs w:val="24"/>
        </w:rPr>
        <w:t>Qiaoyun</w:t>
      </w:r>
      <w:proofErr w:type="spellEnd"/>
      <w:r w:rsidRPr="00CD3B41">
        <w:rPr>
          <w:sz w:val="24"/>
          <w:szCs w:val="24"/>
        </w:rPr>
        <w:t xml:space="preserve"> Huang, and </w:t>
      </w:r>
      <w:proofErr w:type="spellStart"/>
      <w:r w:rsidRPr="00CD3B41">
        <w:rPr>
          <w:sz w:val="24"/>
          <w:szCs w:val="24"/>
        </w:rPr>
        <w:t>Wenli</w:t>
      </w:r>
      <w:proofErr w:type="spellEnd"/>
      <w:r w:rsidRPr="00CD3B41">
        <w:rPr>
          <w:sz w:val="24"/>
          <w:szCs w:val="24"/>
        </w:rPr>
        <w:t xml:space="preserve"> Chen. n.d. “The Newest Oxford Nanopore R10.4.1 Full-Length 16S rRNA Sequencing Enables the Accurate Resolution of Species-Level Microbial Community Profiling.” </w:t>
      </w:r>
      <w:r w:rsidRPr="00CD3B41">
        <w:rPr>
          <w:i/>
          <w:iCs/>
          <w:sz w:val="24"/>
          <w:szCs w:val="24"/>
        </w:rPr>
        <w:t>Applied and Environmental Microbiology</w:t>
      </w:r>
      <w:r w:rsidRPr="00CD3B41">
        <w:rPr>
          <w:sz w:val="24"/>
          <w:szCs w:val="24"/>
        </w:rPr>
        <w:t xml:space="preserve"> 89 (10): e00605-23. </w:t>
      </w:r>
      <w:hyperlink r:id="rId9" w:history="1">
        <w:r w:rsidRPr="00E178C2">
          <w:rPr>
            <w:rStyle w:val="Hyperlink"/>
            <w:sz w:val="24"/>
            <w:szCs w:val="24"/>
            <w:lang w:val="es-ES"/>
          </w:rPr>
          <w:t>https://doi.org/10.1128/aem.00605-23</w:t>
        </w:r>
      </w:hyperlink>
      <w:r w:rsidRPr="00E178C2">
        <w:rPr>
          <w:sz w:val="24"/>
          <w:szCs w:val="24"/>
          <w:lang w:val="es-ES"/>
        </w:rPr>
        <w:t>.</w:t>
      </w:r>
    </w:p>
    <w:p w14:paraId="0000002D" w14:textId="77777777" w:rsidR="003420B7" w:rsidRPr="00E178C2" w:rsidRDefault="003420B7" w:rsidP="005513E1">
      <w:pPr>
        <w:spacing w:line="324" w:lineRule="auto"/>
        <w:rPr>
          <w:sz w:val="24"/>
          <w:szCs w:val="24"/>
          <w:lang w:val="es-ES"/>
        </w:rPr>
      </w:pPr>
    </w:p>
    <w:p w14:paraId="0000002E" w14:textId="77777777" w:rsidR="003420B7" w:rsidRPr="00CD3B41" w:rsidRDefault="00000000">
      <w:pPr>
        <w:spacing w:line="324" w:lineRule="auto"/>
        <w:ind w:left="880" w:hanging="440"/>
        <w:rPr>
          <w:sz w:val="24"/>
          <w:szCs w:val="24"/>
        </w:rPr>
      </w:pPr>
      <w:r w:rsidRPr="00E178C2">
        <w:rPr>
          <w:sz w:val="24"/>
          <w:szCs w:val="24"/>
          <w:lang w:val="es-ES"/>
        </w:rPr>
        <w:t xml:space="preserve">Rodríguez-Pérez, Héctor, Laura Ciuffreda, and Carlos Flores. </w:t>
      </w:r>
      <w:r w:rsidRPr="00CD3B41">
        <w:rPr>
          <w:sz w:val="24"/>
          <w:szCs w:val="24"/>
        </w:rPr>
        <w:t>2022. “</w:t>
      </w:r>
      <w:proofErr w:type="spellStart"/>
      <w:r w:rsidRPr="00CD3B41">
        <w:rPr>
          <w:sz w:val="24"/>
          <w:szCs w:val="24"/>
        </w:rPr>
        <w:t>NanoRTax</w:t>
      </w:r>
      <w:proofErr w:type="spellEnd"/>
      <w:r w:rsidRPr="00CD3B41">
        <w:rPr>
          <w:sz w:val="24"/>
          <w:szCs w:val="24"/>
        </w:rPr>
        <w:t xml:space="preserve">, a Real-Time Pipeline for Taxonomic and Diversity Analysis of Nanopore 16S rRNA Amplicon Sequencing Data.” </w:t>
      </w:r>
      <w:r w:rsidRPr="00CD3B41">
        <w:rPr>
          <w:i/>
          <w:sz w:val="24"/>
          <w:szCs w:val="24"/>
        </w:rPr>
        <w:t>Computational and Structural Biotechnology Journal</w:t>
      </w:r>
      <w:r w:rsidRPr="00CD3B41">
        <w:rPr>
          <w:sz w:val="24"/>
          <w:szCs w:val="24"/>
        </w:rPr>
        <w:t xml:space="preserve"> 20:5350–54.</w:t>
      </w:r>
      <w:hyperlink r:id="rId10">
        <w:r w:rsidRPr="00CD3B41">
          <w:rPr>
            <w:sz w:val="24"/>
            <w:szCs w:val="24"/>
          </w:rPr>
          <w:t xml:space="preserve"> </w:t>
        </w:r>
      </w:hyperlink>
      <w:hyperlink r:id="rId11">
        <w:r w:rsidRPr="00CD3B41">
          <w:rPr>
            <w:color w:val="1155CC"/>
            <w:sz w:val="24"/>
            <w:szCs w:val="24"/>
            <w:u w:val="single"/>
          </w:rPr>
          <w:t>https://doi.org/10.1016/j.csbj.2022.09.024</w:t>
        </w:r>
      </w:hyperlink>
      <w:r w:rsidRPr="00CD3B41">
        <w:rPr>
          <w:sz w:val="24"/>
          <w:szCs w:val="24"/>
        </w:rPr>
        <w:t>.</w:t>
      </w:r>
    </w:p>
    <w:p w14:paraId="0000002F" w14:textId="77777777" w:rsidR="003420B7" w:rsidRDefault="003420B7">
      <w:pPr>
        <w:spacing w:line="240" w:lineRule="auto"/>
        <w:rPr>
          <w:sz w:val="24"/>
          <w:szCs w:val="24"/>
        </w:rPr>
      </w:pPr>
    </w:p>
    <w:sectPr w:rsidR="003420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8405C"/>
    <w:multiLevelType w:val="multilevel"/>
    <w:tmpl w:val="7E982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2792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0B7"/>
    <w:rsid w:val="000A7824"/>
    <w:rsid w:val="001822D6"/>
    <w:rsid w:val="001B75FB"/>
    <w:rsid w:val="002F53EB"/>
    <w:rsid w:val="002F59C0"/>
    <w:rsid w:val="003420B7"/>
    <w:rsid w:val="00436B84"/>
    <w:rsid w:val="00443541"/>
    <w:rsid w:val="0044419F"/>
    <w:rsid w:val="005513E1"/>
    <w:rsid w:val="008F043E"/>
    <w:rsid w:val="00BE19C5"/>
    <w:rsid w:val="00CD0571"/>
    <w:rsid w:val="00CD3B41"/>
    <w:rsid w:val="00D76277"/>
    <w:rsid w:val="00E178C2"/>
    <w:rsid w:val="00E3686B"/>
    <w:rsid w:val="00EF4DC7"/>
    <w:rsid w:val="00FD7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AC4129"/>
  <w15:docId w15:val="{73599A7E-5F52-44EB-B05D-9387921E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2F53EB"/>
    <w:pPr>
      <w:spacing w:line="240" w:lineRule="auto"/>
    </w:pPr>
  </w:style>
  <w:style w:type="character" w:styleId="CommentReference">
    <w:name w:val="annotation reference"/>
    <w:basedOn w:val="DefaultParagraphFont"/>
    <w:uiPriority w:val="99"/>
    <w:semiHidden/>
    <w:unhideWhenUsed/>
    <w:rsid w:val="00443541"/>
    <w:rPr>
      <w:sz w:val="16"/>
      <w:szCs w:val="16"/>
    </w:rPr>
  </w:style>
  <w:style w:type="paragraph" w:styleId="CommentText">
    <w:name w:val="annotation text"/>
    <w:basedOn w:val="Normal"/>
    <w:link w:val="CommentTextChar"/>
    <w:uiPriority w:val="99"/>
    <w:unhideWhenUsed/>
    <w:rsid w:val="00443541"/>
    <w:pPr>
      <w:spacing w:line="240" w:lineRule="auto"/>
    </w:pPr>
    <w:rPr>
      <w:sz w:val="20"/>
      <w:szCs w:val="20"/>
    </w:rPr>
  </w:style>
  <w:style w:type="character" w:customStyle="1" w:styleId="CommentTextChar">
    <w:name w:val="Comment Text Char"/>
    <w:basedOn w:val="DefaultParagraphFont"/>
    <w:link w:val="CommentText"/>
    <w:uiPriority w:val="99"/>
    <w:rsid w:val="00443541"/>
    <w:rPr>
      <w:sz w:val="20"/>
      <w:szCs w:val="20"/>
    </w:rPr>
  </w:style>
  <w:style w:type="paragraph" w:styleId="CommentSubject">
    <w:name w:val="annotation subject"/>
    <w:basedOn w:val="CommentText"/>
    <w:next w:val="CommentText"/>
    <w:link w:val="CommentSubjectChar"/>
    <w:uiPriority w:val="99"/>
    <w:semiHidden/>
    <w:unhideWhenUsed/>
    <w:rsid w:val="00443541"/>
    <w:rPr>
      <w:b/>
      <w:bCs/>
    </w:rPr>
  </w:style>
  <w:style w:type="character" w:customStyle="1" w:styleId="CommentSubjectChar">
    <w:name w:val="Comment Subject Char"/>
    <w:basedOn w:val="CommentTextChar"/>
    <w:link w:val="CommentSubject"/>
    <w:uiPriority w:val="99"/>
    <w:semiHidden/>
    <w:rsid w:val="00443541"/>
    <w:rPr>
      <w:b/>
      <w:bCs/>
      <w:sz w:val="20"/>
      <w:szCs w:val="20"/>
    </w:rPr>
  </w:style>
  <w:style w:type="character" w:styleId="Hyperlink">
    <w:name w:val="Hyperlink"/>
    <w:basedOn w:val="DefaultParagraphFont"/>
    <w:uiPriority w:val="99"/>
    <w:unhideWhenUsed/>
    <w:rsid w:val="00443541"/>
    <w:rPr>
      <w:color w:val="0000FF" w:themeColor="hyperlink"/>
      <w:u w:val="single"/>
    </w:rPr>
  </w:style>
  <w:style w:type="character" w:styleId="UnresolvedMention">
    <w:name w:val="Unresolved Mention"/>
    <w:basedOn w:val="DefaultParagraphFont"/>
    <w:uiPriority w:val="99"/>
    <w:semiHidden/>
    <w:unhideWhenUsed/>
    <w:rsid w:val="00443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437026">
      <w:bodyDiv w:val="1"/>
      <w:marLeft w:val="0"/>
      <w:marRight w:val="0"/>
      <w:marTop w:val="0"/>
      <w:marBottom w:val="0"/>
      <w:divBdr>
        <w:top w:val="none" w:sz="0" w:space="0" w:color="auto"/>
        <w:left w:val="none" w:sz="0" w:space="0" w:color="auto"/>
        <w:bottom w:val="none" w:sz="0" w:space="0" w:color="auto"/>
        <w:right w:val="none" w:sz="0" w:space="0" w:color="auto"/>
      </w:divBdr>
      <w:divsChild>
        <w:div w:id="628752822">
          <w:marLeft w:val="480"/>
          <w:marRight w:val="0"/>
          <w:marTop w:val="0"/>
          <w:marBottom w:val="0"/>
          <w:divBdr>
            <w:top w:val="none" w:sz="0" w:space="0" w:color="auto"/>
            <w:left w:val="none" w:sz="0" w:space="0" w:color="auto"/>
            <w:bottom w:val="none" w:sz="0" w:space="0" w:color="auto"/>
            <w:right w:val="none" w:sz="0" w:space="0" w:color="auto"/>
          </w:divBdr>
          <w:divsChild>
            <w:div w:id="234707985">
              <w:marLeft w:val="0"/>
              <w:marRight w:val="0"/>
              <w:marTop w:val="0"/>
              <w:marBottom w:val="0"/>
              <w:divBdr>
                <w:top w:val="none" w:sz="0" w:space="0" w:color="auto"/>
                <w:left w:val="none" w:sz="0" w:space="0" w:color="auto"/>
                <w:bottom w:val="none" w:sz="0" w:space="0" w:color="auto"/>
                <w:right w:val="none" w:sz="0" w:space="0" w:color="auto"/>
              </w:divBdr>
            </w:div>
            <w:div w:id="4953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68254">
      <w:bodyDiv w:val="1"/>
      <w:marLeft w:val="0"/>
      <w:marRight w:val="0"/>
      <w:marTop w:val="0"/>
      <w:marBottom w:val="0"/>
      <w:divBdr>
        <w:top w:val="none" w:sz="0" w:space="0" w:color="auto"/>
        <w:left w:val="none" w:sz="0" w:space="0" w:color="auto"/>
        <w:bottom w:val="none" w:sz="0" w:space="0" w:color="auto"/>
        <w:right w:val="none" w:sz="0" w:space="0" w:color="auto"/>
      </w:divBdr>
      <w:divsChild>
        <w:div w:id="589897937">
          <w:marLeft w:val="480"/>
          <w:marRight w:val="0"/>
          <w:marTop w:val="0"/>
          <w:marBottom w:val="0"/>
          <w:divBdr>
            <w:top w:val="none" w:sz="0" w:space="0" w:color="auto"/>
            <w:left w:val="none" w:sz="0" w:space="0" w:color="auto"/>
            <w:bottom w:val="none" w:sz="0" w:space="0" w:color="auto"/>
            <w:right w:val="none" w:sz="0" w:space="0" w:color="auto"/>
          </w:divBdr>
          <w:divsChild>
            <w:div w:id="14553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25752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371/journal.pone.025752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390/nu5041417" TargetMode="External"/><Relationship Id="rId11" Type="http://schemas.openxmlformats.org/officeDocument/2006/relationships/hyperlink" Target="https://doi.org/10.1016/j.csbj.2022.09.024" TargetMode="External"/><Relationship Id="rId5" Type="http://schemas.openxmlformats.org/officeDocument/2006/relationships/hyperlink" Target="https://doi.org/10.1038/nrn3346" TargetMode="External"/><Relationship Id="rId10" Type="http://schemas.openxmlformats.org/officeDocument/2006/relationships/hyperlink" Target="https://doi.org/10.1016/j.csbj.2022.09.024" TargetMode="External"/><Relationship Id="rId4" Type="http://schemas.openxmlformats.org/officeDocument/2006/relationships/webSettings" Target="webSettings.xml"/><Relationship Id="rId9" Type="http://schemas.openxmlformats.org/officeDocument/2006/relationships/hyperlink" Target="https://doi.org/10.1128/aem.0060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3</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Austen Miller Aceituna</cp:lastModifiedBy>
  <cp:revision>8</cp:revision>
  <dcterms:created xsi:type="dcterms:W3CDTF">2024-06-14T02:47:00Z</dcterms:created>
  <dcterms:modified xsi:type="dcterms:W3CDTF">2024-06-14T23:27:00Z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c7e5b4074c2fa53d787f7950c85fd5f9293aeb543c13cad560a352628c196f08</vt:lpwstr>
  </property>
</Properties>
</file>