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20" w:rsidRDefault="003B604B">
      <w:pPr>
        <w:pStyle w:val="FirstParagraph"/>
      </w:pPr>
      <w:r>
        <w:t>The README was written by Zhiming Gao (Phone 865-946-1339, email gaoz@ornl.gov) The detailed model are reported in the manuscript of “</w:t>
      </w:r>
      <w:r>
        <w:rPr>
          <w:i/>
        </w:rPr>
        <w:t>An Open-Source Code for Modeling and Simulation of Membrane-Based Dehumidification and Energy Recovery.</w:t>
      </w:r>
      <w:r>
        <w:t>”</w:t>
      </w:r>
    </w:p>
    <w:p w:rsidR="001D0320" w:rsidRDefault="003B604B">
      <w:pPr>
        <w:pStyle w:val="Heading1"/>
      </w:pPr>
      <w:bookmarkStart w:id="0" w:name="document-file"/>
      <w:bookmarkEnd w:id="0"/>
      <w:r>
        <w:t>Document file</w:t>
      </w:r>
    </w:p>
    <w:p w:rsidR="001D0320" w:rsidRDefault="003B604B">
      <w:pPr>
        <w:pStyle w:val="FirstParagraph"/>
      </w:pPr>
      <w:r>
        <w:t>The zipped files include two folders</w:t>
      </w:r>
      <w:r>
        <w:rPr>
          <w:b/>
        </w:rPr>
        <w:t>CODE_MODEL</w:t>
      </w:r>
      <w:r>
        <w:t xml:space="preserve"> and </w:t>
      </w:r>
      <w:r>
        <w:rPr>
          <w:b/>
        </w:rPr>
        <w:t>CASES</w:t>
      </w:r>
      <w:r>
        <w:t xml:space="preserve">. In the folder of </w:t>
      </w:r>
      <w:r>
        <w:rPr>
          <w:b/>
        </w:rPr>
        <w:t>CODE_MODEL</w:t>
      </w:r>
      <w:r>
        <w:t>, there are totally fifteen source-code files. The source-code files were written in C++. The functions are explained in the Code function.</w:t>
      </w:r>
    </w:p>
    <w:p w:rsidR="001D0320" w:rsidRDefault="003B604B">
      <w:pPr>
        <w:pStyle w:val="BodyText"/>
      </w:pPr>
      <w:r>
        <w:t xml:space="preserve">In the folder of </w:t>
      </w:r>
      <w:r>
        <w:rPr>
          <w:b/>
        </w:rPr>
        <w:t>CASE</w:t>
      </w:r>
      <w:r>
        <w:t>, there ar</w:t>
      </w:r>
      <w:r>
        <w:t>e ten files which include one executable file and 9 input text files for case studies.</w:t>
      </w:r>
    </w:p>
    <w:p w:rsidR="001D0320" w:rsidRDefault="003B604B">
      <w:pPr>
        <w:numPr>
          <w:ilvl w:val="0"/>
          <w:numId w:val="3"/>
        </w:numPr>
      </w:pPr>
      <w:r>
        <w:rPr>
          <w:rStyle w:val="VerbatimChar"/>
        </w:rPr>
        <w:t>Membrane_Model.exe</w:t>
      </w:r>
      <w:r>
        <w:t xml:space="preserve"> is an executable file which can be generated from the source codes in the folder of </w:t>
      </w:r>
      <w:r>
        <w:rPr>
          <w:rStyle w:val="VerbatimChar"/>
        </w:rPr>
        <w:t>code_model</w:t>
      </w:r>
      <w:r>
        <w:t>. The used compiler is Microsoft Visual Studio Community</w:t>
      </w:r>
      <w:r>
        <w:t xml:space="preserve"> 2015. The executable file can be used directly to study any cases with the format of the attached input files.</w:t>
      </w:r>
    </w:p>
    <w:p w:rsidR="001D0320" w:rsidRDefault="003B604B">
      <w:pPr>
        <w:numPr>
          <w:ilvl w:val="0"/>
          <w:numId w:val="3"/>
        </w:numPr>
      </w:pPr>
      <w:r>
        <w:t xml:space="preserve">9 input files for case studies include </w:t>
      </w:r>
      <w:r>
        <w:rPr>
          <w:rStyle w:val="VerbatimChar"/>
        </w:rPr>
        <w:t>a2a104_s3_cr.txt</w:t>
      </w:r>
      <w:r>
        <w:t xml:space="preserve">, </w:t>
      </w:r>
      <w:r>
        <w:rPr>
          <w:rStyle w:val="VerbatimChar"/>
        </w:rPr>
        <w:t>a2a520_s3_cr.txt</w:t>
      </w:r>
      <w:r>
        <w:t xml:space="preserve">, </w:t>
      </w:r>
      <w:r>
        <w:rPr>
          <w:rStyle w:val="VerbatimChar"/>
        </w:rPr>
        <w:t>a2v360_caseA_cr.txt</w:t>
      </w:r>
      <w:r>
        <w:t xml:space="preserve">, </w:t>
      </w:r>
      <w:r>
        <w:rPr>
          <w:rStyle w:val="VerbatimChar"/>
        </w:rPr>
        <w:t>a2v360_caseB_cr.txt</w:t>
      </w:r>
      <w:r>
        <w:t xml:space="preserve">, </w:t>
      </w:r>
      <w:r>
        <w:rPr>
          <w:rStyle w:val="VerbatimChar"/>
        </w:rPr>
        <w:t>a2v360_caseC_cr.txt</w:t>
      </w:r>
      <w:r>
        <w:t xml:space="preserve">, </w:t>
      </w:r>
      <w:r>
        <w:rPr>
          <w:rStyle w:val="VerbatimChar"/>
        </w:rPr>
        <w:t>a2v360</w:t>
      </w:r>
      <w:r>
        <w:rPr>
          <w:rStyle w:val="VerbatimChar"/>
        </w:rPr>
        <w:t>_caseD_cr.txt</w:t>
      </w:r>
      <w:r>
        <w:t xml:space="preserve">, </w:t>
      </w:r>
      <w:r>
        <w:rPr>
          <w:rStyle w:val="VerbatimChar"/>
        </w:rPr>
        <w:t>a2v360_caseE_cr.txt</w:t>
      </w:r>
      <w:r>
        <w:t xml:space="preserve">, </w:t>
      </w:r>
      <w:r>
        <w:rPr>
          <w:rStyle w:val="VerbatimChar"/>
        </w:rPr>
        <w:t>a2v360_caseF_cr.txt</w:t>
      </w:r>
      <w:r>
        <w:t xml:space="preserve">, </w:t>
      </w:r>
      <w:r>
        <w:rPr>
          <w:rStyle w:val="VerbatimChar"/>
        </w:rPr>
        <w:t>a2a360_caseG_cr.txt</w:t>
      </w:r>
      <w:r>
        <w:t xml:space="preserve">. Here, </w:t>
      </w:r>
      <w:r>
        <w:rPr>
          <w:rStyle w:val="VerbatimChar"/>
        </w:rPr>
        <w:t>a2a104_s3_cr.txt</w:t>
      </w:r>
      <w:r>
        <w:t xml:space="preserve"> and </w:t>
      </w:r>
      <w:r>
        <w:rPr>
          <w:rStyle w:val="VerbatimChar"/>
        </w:rPr>
        <w:t>a2a520_s3_cr.txt</w:t>
      </w:r>
      <w:r>
        <w:t xml:space="preserve"> are the input files for the AIR-AIR cases, and the input file can used to repeat the results reported in </w:t>
      </w:r>
      <w:r>
        <w:rPr>
          <w:b/>
        </w:rPr>
        <w:t>Figures 8-10</w:t>
      </w:r>
      <w:r>
        <w:t xml:space="preserve"> of the manuscrip</w:t>
      </w:r>
      <w:r>
        <w:t xml:space="preserve">t; and </w:t>
      </w:r>
      <w:r>
        <w:rPr>
          <w:rStyle w:val="VerbatimChar"/>
        </w:rPr>
        <w:t>a2v360_caseA_cr.txt</w:t>
      </w:r>
      <w:r>
        <w:t xml:space="preserve"> et. al. are the input files for the AIR-vapor cases where the permeate side is under the condition of vacuum, and these input file can used to repeat the results reported in </w:t>
      </w:r>
      <w:r>
        <w:rPr>
          <w:b/>
        </w:rPr>
        <w:t>Figures 4-7</w:t>
      </w:r>
      <w:r>
        <w:t xml:space="preserve"> of the manuscript.</w:t>
      </w:r>
    </w:p>
    <w:p w:rsidR="001D0320" w:rsidRDefault="003B604B">
      <w:pPr>
        <w:pStyle w:val="Heading1"/>
      </w:pPr>
      <w:bookmarkStart w:id="1" w:name="code-function"/>
      <w:bookmarkEnd w:id="1"/>
      <w:r>
        <w:t>Code function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999"/>
        <w:gridCol w:w="6577"/>
      </w:tblGrid>
      <w:tr w:rsidR="001D03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Funct</w:t>
            </w:r>
            <w:r>
              <w:t>ion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Cmatric.cpp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routines are used to allocating memory for any variables used in the open-source codes.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Component.cpp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Class is used to carry out a general heat exchanger component simulation based segment-by segment methodology fo</w:t>
            </w:r>
            <w:r>
              <w:t>r various flow configurations.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HXM.cpp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Class is used to reanalyze heat exchanger parameters and geometry size, segment size, characteristic length.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Iofile.cpp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namespace is used to read input data file and generate out data file.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Main.cpp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This is a Main function to call other functions.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Membrane.cpp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The namespace of Membrane is defined and is used to </w:t>
            </w:r>
            <w:r>
              <w:lastRenderedPageBreak/>
              <w:t>calculate membrane mass transport analysis.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lastRenderedPageBreak/>
              <w:t>MoistAirVapProperty.cpp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The namespace of MoistAirVapProperty is defined and is used to </w:t>
            </w:r>
            <w:r>
              <w:t>calculate moist air and vapor properties, and their heat transfer coefficients.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SegmentSolve.cpp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Class is used to the heat and mass transport process in feed-side and permeate-side flow for each segment. The solving method is Gaussian eliminat</w:t>
            </w:r>
            <w:r>
              <w:t>ion.</w:t>
            </w:r>
          </w:p>
        </w:tc>
      </w:tr>
    </w:tbl>
    <w:p w:rsidR="001D0320" w:rsidRDefault="003B604B">
      <w:pPr>
        <w:pStyle w:val="Heading1"/>
      </w:pPr>
      <w:bookmarkStart w:id="2" w:name="input-parameter-introduction"/>
      <w:bookmarkEnd w:id="2"/>
      <w:r>
        <w:t>Input parameter introduction</w:t>
      </w:r>
    </w:p>
    <w:p w:rsidR="001D0320" w:rsidRDefault="00975FF4">
      <w:pPr>
        <w:pStyle w:val="FirstParagraph"/>
      </w:pPr>
      <w:r>
        <w:rPr>
          <w:noProof/>
        </w:rPr>
        <w:drawing>
          <wp:inline distT="0" distB="0" distL="0" distR="0">
            <wp:extent cx="2712955" cy="3779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tbl>
      <w:tblPr>
        <w:tblW w:w="5000" w:type="pct"/>
        <w:tblLook w:val="07E0" w:firstRow="1" w:lastRow="1" w:firstColumn="1" w:lastColumn="1" w:noHBand="1" w:noVBand="1"/>
      </w:tblPr>
      <w:tblGrid>
        <w:gridCol w:w="2394"/>
        <w:gridCol w:w="2654"/>
        <w:gridCol w:w="4528"/>
      </w:tblGrid>
      <w:tr w:rsidR="001D0320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length_dev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length of device,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deep_dev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deep of device,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height_feedchanel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height of feedair channel,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height_permeatechanel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height of permeateflow channel,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thick_membrane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membrane thickness,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1D0320"/>
        </w:tc>
        <w:tc>
          <w:tcPr>
            <w:tcW w:w="0" w:type="auto"/>
          </w:tcPr>
          <w:p w:rsidR="001D0320" w:rsidRDefault="001D0320"/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segment_length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segment number of L-direction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segment_deep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segment number of D-direction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layernum_membrane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layer number of membrane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flowtype_device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flow configuration1parallel uncounterflow; 2:parallel counterflow; 0 or 3 or othercrossflow</w:t>
            </w:r>
          </w:p>
        </w:tc>
      </w:tr>
      <w:tr w:rsidR="001D0320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poreradius_membrane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pore radius of membrane,m (need it if membrane_model=0)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porosity_membrane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porosity of membrane,(-) (need it if membrane_model=0)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tortuosity_membrane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tortuosity of membrane,(-) (need it if membrane_model=0)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thermocond_membrane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membrane thermocondivity,kW/m-K(need it if membrane_model=0)</w:t>
            </w:r>
          </w:p>
        </w:tc>
      </w:tr>
      <w:tr w:rsidR="001D0320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mass_feedflow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mas</w:t>
            </w:r>
            <w:r>
              <w:t>s flow rate @ feedair, kg/s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temp_feedflow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temp, K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rh_feedflow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rh@feedair, (dimensionless)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press_feedflow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pressure, Pa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mass_permeateflow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mass flow rate @ permeateflow, kg/s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temp_permeateflow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peameateflow temp, K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rh_permeateflow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rh@peameateflow, (dimensionless)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press_permeateflow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peameateflow pressure, Pa</w:t>
            </w:r>
          </w:p>
        </w:tc>
      </w:tr>
      <w:tr w:rsidR="001D0320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flowcondition_permeate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0:A2V,vapor only in permeateflow; 1:A2A,air in permeateflow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membrane_model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0default model; 1Dais data; 2 constant value-model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htc_correction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HTC correction (0-1), (-)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ftc_correction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FTC correction (0-1), (-)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mt_impact_ht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0not enabled; 1enabled mass permeated on ht impact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memsurf_correction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membrane surface deflection (0-inf, 1 means perfectly flat)</w:t>
            </w:r>
          </w:p>
        </w:tc>
      </w:tr>
    </w:tbl>
    <w:p w:rsidR="001D0320" w:rsidRDefault="003B604B">
      <w:pPr>
        <w:pStyle w:val="Heading1"/>
      </w:pPr>
      <w:bookmarkStart w:id="4" w:name="output-parameter-introduction"/>
      <w:bookmarkEnd w:id="4"/>
      <w:r>
        <w:t>Output parameter introduction</w:t>
      </w:r>
    </w:p>
    <w:p w:rsidR="001D0320" w:rsidRDefault="003B604B">
      <w:pPr>
        <w:pStyle w:val="Heading2"/>
      </w:pPr>
      <w:bookmarkStart w:id="5" w:name="general-outputs"/>
      <w:bookmarkEnd w:id="5"/>
      <w:r>
        <w:t>General outputs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94"/>
        <w:gridCol w:w="4128"/>
      </w:tblGrid>
      <w:tr w:rsidR="001D03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tfa_in(c)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temp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tfa_out(c)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temp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humidfa_in(kg/kg)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humidity ratio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humidfa_out(kg/kg)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humidity ratio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rhfa_in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feedair RH </w:t>
            </w:r>
            <w:r>
              <w:t>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rhfa_out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RH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Pvapfa_in(pa)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vapor pressure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Pvapfa_out(pa)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vapor pressure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tpf_in(c)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temp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tpf_out(c)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temp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humidpf_in(kg/kg)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humidity ratio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humidpf_out(kg/kg)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humidity ratio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rhpf_in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RH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rhpf_out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RH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Pvappf_in(pa)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vapor pressure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Pvappf_out(pa)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vapor pressure @outlet</w:t>
            </w:r>
          </w:p>
        </w:tc>
      </w:tr>
    </w:tbl>
    <w:p w:rsidR="001D0320" w:rsidRDefault="003B604B">
      <w:pPr>
        <w:pStyle w:val="Heading2"/>
      </w:pPr>
      <w:bookmarkStart w:id="6" w:name="parallel-and-counter-flows"/>
      <w:bookmarkEnd w:id="6"/>
      <w:r>
        <w:t>Parallel and counter flows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477"/>
        <w:gridCol w:w="4099"/>
      </w:tblGrid>
      <w:tr w:rsidR="001D03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</w:t>
            </w:r>
            <w:r>
              <w:t>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X/L_index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segment index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tfa(c)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temp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tfam(c)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temp of interfacial membrane at feedair-side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humidfa(kg/kg)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humidity ratio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pvapfa(pa)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vapor pressure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flfa(kg/s)</w:t>
            </w:r>
            <w:r>
              <w:t xml:space="preserve"> @per_segment_per_channel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flow rate per_segment_per_channel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tpf(c)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temp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tpfm(c)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temp of interfacial membrane at permeateflow-side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humidpf(kg/kg)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humidity ratio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pvappf(pa)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vapor pressure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flpf(kg/s)</w:t>
            </w:r>
            <w:r>
              <w:t xml:space="preserve"> @per_segment_per_channel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flow rate per_segment_per_channel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vappermeat(kg/m2/s)</w:t>
            </w:r>
            <w:r>
              <w:t xml:space="preserve"> from feed-side to permeate-side @per_segment_per_channel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permeated vapor rate @per_segment_per_channel</w:t>
            </w:r>
          </w:p>
        </w:tc>
      </w:tr>
    </w:tbl>
    <w:p w:rsidR="001D0320" w:rsidRDefault="003B604B">
      <w:pPr>
        <w:pStyle w:val="Heading2"/>
      </w:pPr>
      <w:bookmarkStart w:id="7" w:name="crossflow"/>
      <w:bookmarkEnd w:id="7"/>
      <w:r>
        <w:t>Crossflow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535"/>
        <w:gridCol w:w="4041"/>
      </w:tblGrid>
      <w:tr w:rsidR="001D03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D/L_index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segment index in D/L directions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Tfa (c)_map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temp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tfam(c)_map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temp of interfacial membrane at feedair-side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humidfa(kg/kg)_map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humidity ratio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pvapfa(pa)_map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vapor pressure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flfa(kg/s)_map</w:t>
            </w:r>
            <w:r>
              <w:t xml:space="preserve"> @per_segment_per_channel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feedair flow rate per_segment_per_channel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tpf(c)_map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temp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tpfm(c)_map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temp of interfacial membrane at permeateflow-side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humidpf(kg/kg)_map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humidity ratio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pvappf(pa)_map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vapor pressure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flpf(kg/s)_map</w:t>
            </w:r>
            <w:r>
              <w:t xml:space="preserve"> @per_segment_per_channel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permeateflow flow rate per_segment_per_channel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vappermeat(kg/m2/s)_map</w:t>
            </w:r>
            <w:r>
              <w:t xml:space="preserve"> from feed-side to permeate-side @per_segment_per_channel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permeated vapor rate @per_segment_per_channel</w:t>
            </w:r>
          </w:p>
        </w:tc>
      </w:tr>
    </w:tbl>
    <w:p w:rsidR="003B604B" w:rsidRDefault="003B604B"/>
    <w:sectPr w:rsidR="003B60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04B" w:rsidRDefault="003B604B">
      <w:pPr>
        <w:spacing w:after="0"/>
      </w:pPr>
      <w:r>
        <w:separator/>
      </w:r>
    </w:p>
  </w:endnote>
  <w:endnote w:type="continuationSeparator" w:id="0">
    <w:p w:rsidR="003B604B" w:rsidRDefault="003B60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04B" w:rsidRDefault="003B604B">
      <w:r>
        <w:separator/>
      </w:r>
    </w:p>
  </w:footnote>
  <w:footnote w:type="continuationSeparator" w:id="0">
    <w:p w:rsidR="003B604B" w:rsidRDefault="003B6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100D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EE9BE1"/>
    <w:multiLevelType w:val="multilevel"/>
    <w:tmpl w:val="957400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5401CC"/>
    <w:multiLevelType w:val="multilevel"/>
    <w:tmpl w:val="8B861C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D0320"/>
    <w:rsid w:val="003B604B"/>
    <w:rsid w:val="004E29B3"/>
    <w:rsid w:val="00590D07"/>
    <w:rsid w:val="00784D58"/>
    <w:rsid w:val="008D6863"/>
    <w:rsid w:val="00975FF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7B0E2D-1BEB-4E2C-B656-37207331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Pawlowski, Alex E.</dc:creator>
  <cp:lastModifiedBy>Pawlowski, Alex E.</cp:lastModifiedBy>
  <cp:revision>2</cp:revision>
  <dcterms:created xsi:type="dcterms:W3CDTF">2017-02-04T00:15:00Z</dcterms:created>
  <dcterms:modified xsi:type="dcterms:W3CDTF">2017-02-04T00:15:00Z</dcterms:modified>
</cp:coreProperties>
</file>