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5.1 Введение</w:t>
        <w:tab/>
        <w:t>76</w:t>
      </w:r>
    </w:p>
    <w:p>
      <w:pPr>
        <w:tabs>
          <w:tab w:pos="9354" w:val="right" w:leader="dot"/>
        </w:tabs>
        <w:ind w:firstLine="0" w:left="283" w:right="567"/>
        <w:jc w:val="left"/>
      </w:pPr>
      <w:r>
        <w:rPr>
          <w:b w:val="0"/>
        </w:rPr>
        <w:t>5.2 Оценка условий труда</w:t>
        <w:tab/>
        <w:t>78</w:t>
      </w:r>
    </w:p>
    <w:p>
      <w:pPr>
        <w:tabs>
          <w:tab w:pos="9354" w:val="right" w:leader="dot"/>
        </w:tabs>
        <w:ind w:firstLine="0" w:left="283" w:right="567"/>
        <w:jc w:val="left"/>
      </w:pPr>
      <w:r>
        <w:rPr>
          <w:b w:val="0"/>
        </w:rPr>
        <w:t>5.3 Оценка условий труда по эргономическим параметрам</w:t>
        <w:tab/>
        <w:t>86</w:t>
      </w:r>
    </w:p>
    <w:p>
      <w:pPr>
        <w:tabs>
          <w:tab w:pos="9354" w:val="right" w:leader="dot"/>
        </w:tabs>
        <w:ind w:firstLine="0" w:left="283" w:right="567"/>
        <w:jc w:val="left"/>
      </w:pPr>
      <w:r>
        <w:rPr>
          <w:b w:val="0"/>
        </w:rPr>
        <w:t>5.4 Оценка помещения по электроопасности</w:t>
        <w:tab/>
        <w:t>89</w:t>
      </w:r>
    </w:p>
    <w:p>
      <w:pPr>
        <w:tabs>
          <w:tab w:pos="9354" w:val="right" w:leader="dot"/>
        </w:tabs>
        <w:ind w:firstLine="0" w:left="283" w:right="567"/>
        <w:jc w:val="left"/>
      </w:pPr>
      <w:r>
        <w:rPr>
          <w:b w:val="0"/>
        </w:rPr>
        <w:t>5.5 Классификация помещения по пожароопасности</w:t>
        <w:tab/>
        <w:t>90</w:t>
      </w:r>
    </w:p>
    <w:p>
      <w:pPr>
        <w:tabs>
          <w:tab w:pos="9354" w:val="right" w:leader="dot"/>
        </w:tabs>
        <w:ind w:firstLine="0" w:left="283" w:right="567"/>
        <w:jc w:val="left"/>
      </w:pPr>
      <w:r>
        <w:rPr>
          <w:b w:val="0"/>
        </w:rPr>
        <w:t>5.6 Расчёт искусственного освещения</w:t>
        <w:tab/>
        <w:t>91</w:t>
      </w:r>
    </w:p>
    <w:p>
      <w:pPr>
        <w:tabs>
          <w:tab w:pos="9354" w:val="right" w:leader="dot"/>
        </w:tabs>
        <w:ind w:firstLine="0" w:left="283" w:right="567"/>
        <w:jc w:val="left"/>
      </w:pPr>
      <w:r>
        <w:rPr>
          <w:b w:val="0"/>
        </w:rPr>
        <w:t>5.7 Выводы</w:t>
        <w:tab/>
        <w:t>94</w:t>
      </w:r>
    </w:p>
    <w:p>
      <w:pPr>
        <w:tabs>
          <w:tab w:pos="9354" w:val="right" w:leader="dot"/>
        </w:tabs>
        <w:ind w:firstLine="0" w:left="0" w:right="567"/>
        <w:jc w:val="left"/>
      </w:pPr>
      <w:r>
        <w:rPr>
          <w:b w:val="0"/>
        </w:rPr>
        <w:t>Заключение</w:t>
        <w:tab/>
        <w:t>96</w:t>
      </w:r>
    </w:p>
    <w:p>
      <w:pPr>
        <w:tabs>
          <w:tab w:pos="9354" w:val="right" w:leader="dot"/>
        </w:tabs>
        <w:ind w:firstLine="0" w:left="0" w:right="567"/>
        <w:jc w:val="left"/>
      </w:pPr>
      <w:r>
        <w:rPr>
          <w:b w:val="0"/>
        </w:rPr>
        <w:t>Список использованных источников</w:t>
        <w:tab/>
        <w:t>99</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109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(14 дБм)</w:t>
            </w:r>
          </w:p>
        </w:tc>
        <w:tc>
          <w:tcPr>
            <w:tcW w:type="dxa" w:w="2494"/>
            <w:vAlign w:val="center"/>
          </w:tcPr>
          <w:p>
            <w:pPr>
              <w:pStyle w:val="TableText"/>
              <w:keepNext/>
              <w:jc w:val="center"/>
            </w:pPr>
            <w:r>
              <w:rPr>
                <w:sz w:val="22"/>
              </w:rPr>
              <w:t>25 мВт (14 дБм)</w:t>
            </w:r>
          </w:p>
        </w:tc>
        <w:tc>
          <w:tcPr>
            <w:tcW w:type="dxa" w:w="2324"/>
            <w:vAlign w:val="center"/>
          </w:tcPr>
          <w:p>
            <w:pPr>
              <w:pStyle w:val="TableText"/>
              <w:keepNext/>
              <w:jc w:val="center"/>
            </w:pPr>
            <w:r>
              <w:rPr>
                <w:sz w:val="22"/>
              </w:rPr>
              <w:t>100 мВт (20 дБм)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приближение даёт верхнюю оценку потерь: асимптотическая формула двухлучевой модели [6] на 1 км для антенн 1,5 / 1,5 м даёт на 10 дБ меньше, а разница между высотами антенн в обоих случаях около 30 дБ)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при опорном расстоянии d₀ = 1 м (потери до него — как в свободном пространстве)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среднем в 1,8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xml:space="preserve"> (показатели итогового опыта, раздел 3.4).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 законченный узел с открытым комплектом разработки программы радиомодуля;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Прежний кодер к тому времени работал с буферами во внешней памяти PSRAM, более медленной, чем внутренняя, и сжимал такой видеокадр около 150 мс, а не 75 мс, как следует из его лабораторной скорости.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у трети–половины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1,1–2,6 раза: синтетический поток в среднем с 252 до 463 кбит/с (+84 %), видео с качеством 80 — с 282 до 618 кбит/с; задержка уменьшилась в 2,7–5,2 раза (у видео с качеством 80 — с 611 до 134 мс).</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трассе 5 м через стену SNR выше коридора (около 36 дБ), потому что мощность уже снижена до наименьшей — 1 дБм — и ниже регулятору опускать её некуда.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сигнал приёмника (14 дБм) у камеры −53 дБм: потери на трассе 67 дБ, запас до чувствительности около 48 дБ; приёмник слышит камеру, передающую на 1 дБм, с отношением сигнал/шум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камеры 1 дБм, сигнал приёмника у камеры −50 дБм, приёмник слышит камеру с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 это сигнал приёмника, передающего на 14 дБм, у камеры, поэтому потери на трассе — 64 дБ, а запас до чувствительности — около 50 дБ. Сама камера передаёт при этом на 1 дБм: регулятор снижает мощность, пока запас избыточен.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(14 дБм — предел нормы ГКРЧ 25 мВт,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195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сигнал приёмника у камеры −53 дБм, а приёмник слышит камеру с отношением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 около 0,77 Мбит/с, столько даёт его камера, —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Сигнал/фон у приёмника (передаёт камера), медиана, дБ</w:t>
            </w:r>
          </w:p>
        </w:tc>
        <w:tc>
          <w:tcPr>
            <w:tcW w:type="dxa" w:w="2154"/>
            <w:vAlign w:val="center"/>
          </w:tcPr>
          <w:p>
            <w:pPr>
              <w:pStyle w:val="TableText"/>
              <w:keepNext/>
              <w:jc w:val="center"/>
            </w:pPr>
            <w:r>
              <w:rPr>
                <w:sz w:val="20"/>
              </w:rPr>
              <w:t>34 (23–39)</w:t>
            </w:r>
          </w:p>
        </w:tc>
        <w:tc>
          <w:tcPr>
            <w:tcW w:type="dxa" w:w="2154"/>
            <w:vAlign w:val="center"/>
          </w:tcPr>
          <w:p>
            <w:pPr>
              <w:pStyle w:val="TableText"/>
              <w:keepNext/>
              <w:jc w:val="center"/>
            </w:pPr>
            <w:r>
              <w:rPr>
                <w:sz w:val="20"/>
              </w:rPr>
              <w:t>19 (8–29)</w:t>
            </w:r>
          </w:p>
        </w:tc>
        <w:tc>
          <w:tcPr>
            <w:tcW w:type="dxa" w:w="2098"/>
            <w:vAlign w:val="center"/>
          </w:tcPr>
          <w:p>
            <w:pPr>
              <w:pStyle w:val="TableText"/>
              <w:keepNext/>
              <w:jc w:val="center"/>
            </w:pPr>
            <w:r>
              <w:rPr>
                <w:sz w:val="20"/>
              </w:rPr>
              <w:t>24–40 (камера на 1 дБм)</w:t>
            </w:r>
          </w:p>
        </w:tc>
      </w:tr>
      <w:tr>
        <w:trPr>
          <w:cantSplit/>
        </w:trPr>
        <w:tc>
          <w:tcPr>
            <w:tcW w:type="dxa" w:w="2948"/>
            <w:vAlign w:val="center"/>
          </w:tcPr>
          <w:p>
            <w:pPr>
              <w:pStyle w:val="TableText"/>
              <w:keepNext/>
              <w:jc w:val="left"/>
            </w:pPr>
            <w:r>
              <w:rPr>
                <w:sz w:val="20"/>
              </w:rPr>
              <w:t>Сигнал/фон у платы с камерой (передаёт приёмник), медиана,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40 (предел отчёта модуля, контрольный опыт)</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сравнивается в одном направлении. Приёмник слышит камеру Wi-Fi HaLow, передающую на 1 дБм, с отношением сигнал/фон 24–40 дБ, а камеру Wi-Fi 2,4 ГГц при 14 и 20 дБм — с 19 и 34 дБ (медианы): такой же запас Wi-Fi HaLow даёт при мощности на 13–19 дБ ниже. В обратную сторону камера слышит приёмник Wi-Fi HaLow с отношением 40 дБ — это предел отчёта модуля, — а приёмник Wi-Fi 2,4 ГГц — с 15 и 24 дБ. Поэтому при удалении Wi-Fi 2,4 ГГц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190–3700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сигнал приёмника у камеры −53 дБм, приёмник слышит камеру с отношением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а запас по сигналу у приёмника Wi-Fi HaLow при мощности камеры 1 дБм (24–40 дБ) такой же, как у Wi-Fi 2,4 ГГц при 14–20 дБм (19–34 дБ, медианы), — при мощности на 13–19 дБ ниже.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ГОСТ 12.2.007.0-75. Система стандартов безопасности труда. Изделия электротехнические. Общие требования безопасности : государственный стандарт Союза ССР : утвержден постановлением Государственного комитета стандартов Совета Министров СССР от 10.09.1975 № 2368 : дата введения 1978-01-01. – Текст : электронный // МЕГАНОРМ : [сайт]. – URL: https://meganorm.ru/Data1/6/6884/index.htm (дата обращения: 23.10.2026).</w:t>
      </w:r>
    </w:p>
    <w:p>
      <w:pPr>
        <w:ind w:firstLine="0"/>
        <w:jc w:val="left"/>
      </w:pPr>
      <w:r>
        <w:t>53.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54.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55.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56.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57.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58.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59.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60.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61. Универсальная светодиодная панель MASTER ДВО 48W-4000K-595х595х40-опал IP40 KZS : артикул 48786 : технические характеристики / FERON. – Текст : электронный // FERON : [сайт]. – URL: https://feron.ru/catalog/svetodiodnye_paneli_armstrong/universalnaya_svetodiodnaya_panel_master_dvo_48w_4000k_595kh595kh40_opal_ip40_kzs/ (дата обращения: 23.10.2026).</w:t>
      </w:r>
    </w:p>
    <w:p>
      <w:pPr>
        <w:ind w:firstLine="0"/>
        <w:jc w:val="left"/>
      </w:pPr>
      <w:r>
        <w:t>62.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63.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64.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65. Шредер Cactus CS-SH-G6 : характеристики. – Текст : электронный // КНС : [сайт]. – URL: https://www.kns.ru/product/shreder-cactus-cs-sh-g6/characteristics/ (дата обращения: 22.10.2026).</w:t>
      </w:r>
    </w:p>
    <w:p>
      <w:pPr>
        <w:ind w:firstLine="0"/>
        <w:jc w:val="left"/>
      </w:pPr>
      <w:r>
        <w:t>66.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67.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68.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69.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70.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71.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72.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73.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74.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75.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76.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77.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78.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79.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80.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81.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82.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109</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