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30</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31</w:t>
      </w:r>
    </w:p>
    <w:p>
      <w:pPr>
        <w:tabs>
          <w:tab w:pos="9354" w:val="right" w:leader="dot"/>
        </w:tabs>
        <w:ind w:firstLine="0" w:left="283" w:right="567"/>
        <w:jc w:val="left"/>
      </w:pPr>
      <w:r>
        <w:rPr>
          <w:b w:val="0"/>
        </w:rPr>
        <w:t>3.1 Условия испытаний</w:t>
        <w:tab/>
        <w:t>31</w:t>
      </w:r>
    </w:p>
    <w:p>
      <w:pPr>
        <w:tabs>
          <w:tab w:pos="9354" w:val="right" w:leader="dot"/>
        </w:tabs>
        <w:ind w:firstLine="0" w:left="283" w:right="567"/>
        <w:jc w:val="left"/>
      </w:pPr>
      <w:r>
        <w:rPr>
          <w:b w:val="0"/>
        </w:rPr>
        <w:t>3.2 Влияние полосы приёма (лабораторный этап)</w:t>
        <w:tab/>
        <w:t>31</w:t>
      </w:r>
    </w:p>
    <w:p>
      <w:pPr>
        <w:tabs>
          <w:tab w:pos="9354" w:val="right" w:leader="dot"/>
        </w:tabs>
        <w:ind w:firstLine="0" w:left="283" w:right="567"/>
        <w:jc w:val="left"/>
      </w:pPr>
      <w:r>
        <w:rPr>
          <w:b w:val="0"/>
        </w:rPr>
        <w:t>3.3 Пропускная способность платформы и ограничивающее звено</w:t>
        <w:tab/>
        <w:t>32</w:t>
      </w:r>
    </w:p>
    <w:p>
      <w:pPr>
        <w:tabs>
          <w:tab w:pos="9354" w:val="right" w:leader="dot"/>
        </w:tabs>
        <w:ind w:firstLine="0" w:left="283" w:right="567"/>
        <w:jc w:val="left"/>
      </w:pPr>
      <w:r>
        <w:rPr>
          <w:b w:val="0"/>
        </w:rPr>
        <w:t>3.4 Доработки канала передачи видео и итоговые результаты</w:t>
        <w:tab/>
        <w:t>36</w:t>
      </w:r>
    </w:p>
    <w:p>
      <w:pPr>
        <w:tabs>
          <w:tab w:pos="9354" w:val="right" w:leader="dot"/>
        </w:tabs>
        <w:ind w:firstLine="0" w:left="283" w:right="567"/>
        <w:jc w:val="left"/>
      </w:pPr>
      <w:r>
        <w:rPr>
          <w:b w:val="0"/>
        </w:rPr>
        <w:t>3.5 Искажения изображения камеры, наводка передатчика и выбор мощности</w:t>
        <w:tab/>
        <w:t>42</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44</w:t>
      </w:r>
    </w:p>
    <w:p>
      <w:pPr>
        <w:tabs>
          <w:tab w:pos="9354" w:val="right" w:leader="dot"/>
        </w:tabs>
        <w:ind w:firstLine="0" w:left="283" w:right="567"/>
        <w:jc w:val="left"/>
      </w:pPr>
      <w:r>
        <w:rPr>
          <w:b w:val="0"/>
        </w:rPr>
        <w:t>3.7 Сравнение с IEEE 802.11 (Wi-Fi 2,4 и 5 ГГц) и LoRa</w:t>
        <w:tab/>
        <w:t>48</w:t>
      </w:r>
    </w:p>
    <w:p>
      <w:pPr>
        <w:tabs>
          <w:tab w:pos="9354" w:val="right" w:leader="dot"/>
        </w:tabs>
        <w:ind w:firstLine="0" w:left="283" w:right="567"/>
        <w:jc w:val="left"/>
      </w:pPr>
      <w:r>
        <w:rPr>
          <w:b w:val="0"/>
        </w:rPr>
        <w:t>3.8 Выводы</w:t>
        <w:tab/>
        <w:t>55</w:t>
      </w:r>
    </w:p>
    <w:p>
      <w:pPr>
        <w:tabs>
          <w:tab w:pos="9354" w:val="right" w:leader="dot"/>
        </w:tabs>
        <w:ind w:firstLine="0" w:left="0" w:right="567"/>
        <w:jc w:val="left"/>
      </w:pPr>
      <w:r>
        <w:rPr>
          <w:b/>
        </w:rPr>
        <w:t>4 Экономическая часть</w:t>
        <w:tab/>
        <w:t>57</w:t>
      </w:r>
    </w:p>
    <w:p>
      <w:pPr>
        <w:tabs>
          <w:tab w:pos="9354" w:val="right" w:leader="dot"/>
        </w:tabs>
        <w:ind w:firstLine="0" w:left="283" w:right="567"/>
        <w:jc w:val="left"/>
      </w:pPr>
      <w:r>
        <w:rPr>
          <w:b w:val="0"/>
        </w:rPr>
        <w:t>4.1 Оценка целесообразности проведения исследования</w:t>
        <w:tab/>
        <w:t>58</w:t>
      </w:r>
    </w:p>
    <w:p>
      <w:pPr>
        <w:tabs>
          <w:tab w:pos="9354" w:val="right" w:leader="dot"/>
        </w:tabs>
        <w:ind w:firstLine="0" w:left="283" w:right="567"/>
        <w:jc w:val="left"/>
      </w:pPr>
      <w:r>
        <w:rPr>
          <w:b w:val="0"/>
        </w:rPr>
        <w:t>4.2 Планирование разработки</w:t>
        <w:tab/>
        <w:t>61</w:t>
      </w:r>
    </w:p>
    <w:p>
      <w:pPr>
        <w:tabs>
          <w:tab w:pos="9354" w:val="right" w:leader="dot"/>
        </w:tabs>
        <w:ind w:firstLine="0" w:left="283" w:right="567"/>
        <w:jc w:val="left"/>
      </w:pPr>
      <w:r>
        <w:rPr>
          <w:b w:val="0"/>
        </w:rPr>
        <w:t>4.3 Определение затрат, себестоимости и цены разработки</w:t>
        <w:tab/>
        <w:t>64</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68</w:t>
      </w:r>
    </w:p>
    <w:p>
      <w:pPr>
        <w:tabs>
          <w:tab w:pos="9354" w:val="right" w:leader="dot"/>
        </w:tabs>
        <w:ind w:firstLine="0" w:left="283" w:right="567"/>
        <w:jc w:val="left"/>
      </w:pPr>
      <w:r>
        <w:rPr>
          <w:b w:val="0"/>
        </w:rPr>
        <w:t>4.5 Выводы</w:t>
        <w:tab/>
        <w:t>70</w:t>
      </w:r>
    </w:p>
    <w:p>
      <w:pPr>
        <w:tabs>
          <w:tab w:pos="9354" w:val="right" w:leader="dot"/>
        </w:tabs>
        <w:ind w:firstLine="0" w:left="0" w:right="567"/>
        <w:jc w:val="left"/>
      </w:pPr>
      <w:r>
        <w:rPr>
          <w:b/>
        </w:rPr>
        <w:t>5 Охрана труда и окружающей среды</w:t>
        <w:tab/>
        <w:t>72</w:t>
      </w:r>
    </w:p>
    <w:p>
      <w:pPr>
        <w:tabs>
          <w:tab w:pos="9354" w:val="right" w:leader="dot"/>
        </w:tabs>
        <w:ind w:firstLine="0" w:left="283" w:right="567"/>
        <w:jc w:val="left"/>
      </w:pPr>
      <w:r>
        <w:rPr>
          <w:b w:val="0"/>
        </w:rPr>
        <w:t>5.1 Введение</w:t>
        <w:tab/>
        <w:t>72</w:t>
      </w:r>
    </w:p>
    <w:p>
      <w:pPr>
        <w:tabs>
          <w:tab w:pos="9354" w:val="right" w:leader="dot"/>
        </w:tabs>
        <w:ind w:firstLine="0" w:left="283" w:right="567"/>
        <w:jc w:val="left"/>
      </w:pPr>
      <w:r>
        <w:rPr>
          <w:b w:val="0"/>
        </w:rPr>
        <w:t>5.2 Оценка условий труда</w:t>
        <w:tab/>
        <w:t>74</w:t>
      </w:r>
    </w:p>
    <w:p>
      <w:pPr>
        <w:tabs>
          <w:tab w:pos="9354" w:val="right" w:leader="dot"/>
        </w:tabs>
        <w:ind w:firstLine="0" w:left="283" w:right="567"/>
        <w:jc w:val="left"/>
      </w:pPr>
      <w:r>
        <w:rPr>
          <w:b w:val="0"/>
        </w:rPr>
        <w:t>5.3 Оценка условий труда по эргономическим параметрам</w:t>
        <w:tab/>
        <w:t>81</w:t>
      </w:r>
    </w:p>
    <w:p>
      <w:pPr>
        <w:tabs>
          <w:tab w:pos="9354" w:val="right" w:leader="dot"/>
        </w:tabs>
        <w:ind w:firstLine="0" w:left="283" w:right="567"/>
        <w:jc w:val="left"/>
      </w:pPr>
      <w:r>
        <w:rPr>
          <w:b w:val="0"/>
        </w:rPr>
        <w:t>5.4 Оценка помещения по электроопасности</w:t>
        <w:tab/>
        <w:t>84</w:t>
      </w:r>
    </w:p>
    <w:p>
      <w:pPr>
        <w:tabs>
          <w:tab w:pos="9354" w:val="right" w:leader="dot"/>
        </w:tabs>
        <w:ind w:firstLine="0" w:left="283" w:right="567"/>
        <w:jc w:val="left"/>
      </w:pPr>
      <w:r>
        <w:rPr>
          <w:b w:val="0"/>
        </w:rPr>
        <w:t>5.5 Классификация помещения по пожароопасности</w:t>
        <w:tab/>
        <w:t>85</w:t>
      </w:r>
    </w:p>
    <w:p>
      <w:pPr>
        <w:tabs>
          <w:tab w:pos="9354" w:val="right" w:leader="dot"/>
        </w:tabs>
        <w:ind w:firstLine="0" w:left="283" w:right="567"/>
        <w:jc w:val="left"/>
      </w:pPr>
      <w:r>
        <w:rPr>
          <w:b w:val="0"/>
        </w:rPr>
        <w:t>5.6 Расчёт искусственного освещения</w:t>
        <w:tab/>
        <w:t>86</w:t>
      </w:r>
    </w:p>
    <w:p>
      <w:pPr>
        <w:tabs>
          <w:tab w:pos="9354" w:val="right" w:leader="dot"/>
        </w:tabs>
        <w:ind w:firstLine="0" w:left="283" w:right="567"/>
        <w:jc w:val="left"/>
      </w:pPr>
      <w:r>
        <w:rPr>
          <w:b w:val="0"/>
        </w:rPr>
        <w:t>5.7 Выводы</w:t>
        <w:tab/>
        <w:t>89</w:t>
      </w:r>
    </w:p>
    <w:p>
      <w:pPr>
        <w:tabs>
          <w:tab w:pos="9354" w:val="right" w:leader="dot"/>
        </w:tabs>
        <w:ind w:firstLine="0" w:left="0" w:right="567"/>
        <w:jc w:val="left"/>
      </w:pPr>
      <w:r>
        <w:rPr>
          <w:b w:val="0"/>
        </w:rPr>
        <w:t>Заключение</w:t>
        <w:tab/>
        <w:t>91</w:t>
      </w:r>
    </w:p>
    <w:p>
      <w:pPr>
        <w:tabs>
          <w:tab w:pos="9354" w:val="right" w:leader="dot"/>
        </w:tabs>
        <w:ind w:firstLine="0" w:left="0" w:right="567"/>
        <w:jc w:val="left"/>
      </w:pPr>
      <w:r>
        <w:rPr>
          <w:b w:val="0"/>
        </w:rPr>
        <w:t>Список использованных источников</w:t>
        <w:tab/>
        <w:t>94</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на языке Python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102 с., 14 рис., 40 табл., 73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Решением ГКРЧ от 07.05.2007 № 07-20-03-001 (в редакции от 24.12.2018) [15] в приложении 11 «Неспециализированные (любого назначения) устройства» выделены полосы 864–865 МГц (эффективная излучаемая мощность, ЭИМ, не более 25 мВт, рабочий цикл не более 0,1 % или режим прослушивания перед излучением, LBT) и 866–868 МГц. Полоса 866–868 МГц введена решением ГКРЧ № 18-46-03-1 [23]: ЭИМ не более 25 мВт при спектральной плотности ЭИМ не более 1000 мВт/МГц (оба условия выполняются одновременно), рабочий цикл не более 1 % или режим LBT. В обеих полосах использование запрещено в пределах аэропортов (аэродромов), что для БПЛА существенно: на территории аэродрома канал этого диапазона применять нельзя. В полосе 2400–2483,5 МГц (приложение 2 того же решения) устройствам с расширением спектра и другими видами модуляции разрешена эквивалентная изотропно излучаемая мощность (ЭИИМ) до 100 мВт при спектральной плотности ЭИИМ не более 10 мВт/МГц [15]. Норма 25 мВт ЭИМ — это 14 дБм, отсчитанные от полуволнового диполя (16,15 дБм относительно изотропной антенны); стенд с мощностью на выходе модуля не более 14 дБм и штатными антеннами плат, не сильнее диполя, в неё укладывается. Видео передаётся непрерывно, поэтому ограничение рабочего цикла 1 % для него невыполнимо, и законность канала держится на втором условии — прослушивании эфира перед передачей (LBT): по стандарту станция Wi-Fi HaLow передаёт только после проверки, что канал свободен (механизм CSMA/CA). Канал шириной 1 или 2 МГц целиком помещается в полосу 866–868 МГц (в работе — канал 2 МГц с центром 867,0 МГц), более широкие каналы — нет.</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 все итоговые показатели работы получены в разрешённой конфигурации.</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Для этого нужен измерительный приёмник или анализатор спектра, которых в работе не было.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Такой код называют кодом для стираний: он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RTT — 0,42 с (медианы).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автором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для стираний,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54.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102</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