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center"/>
      </w:pPr>
      <w:r>
        <w:t>Содержание</w:t>
      </w:r>
    </w:p>
    <w:p>
      <w:pPr>
        <w:tabs>
          <w:tab w:pos="9354" w:val="right" w:leader="dot"/>
        </w:tabs>
        <w:ind w:firstLine="0" w:left="0" w:right="567"/>
        <w:jc w:val="left"/>
      </w:pPr>
      <w:r>
        <w:rPr>
          <w:b w:val="0"/>
        </w:rPr>
        <w:t>Введение</w:t>
        <w:tab/>
        <w:t>5</w:t>
      </w:r>
    </w:p>
    <w:p>
      <w:pPr>
        <w:tabs>
          <w:tab w:pos="9354" w:val="right" w:leader="dot"/>
        </w:tabs>
        <w:ind w:firstLine="0" w:left="0" w:right="567"/>
        <w:jc w:val="left"/>
      </w:pPr>
      <w:r>
        <w:rPr>
          <w:b/>
        </w:rPr>
        <w:t>1 Сравнительный анализ Wi-Fi HaLow с другими вариантами канала связи с БПЛА</w:t>
        <w:tab/>
        <w:t>9</w:t>
      </w:r>
    </w:p>
    <w:p>
      <w:pPr>
        <w:tabs>
          <w:tab w:pos="9354" w:val="right" w:leader="dot"/>
        </w:tabs>
        <w:ind w:firstLine="0" w:left="283" w:right="567"/>
        <w:jc w:val="left"/>
      </w:pPr>
      <w:r>
        <w:rPr>
          <w:b w:val="0"/>
        </w:rPr>
        <w:t>1.1 Задачи применения БПЛА, требующие канала передачи данных</w:t>
        <w:tab/>
        <w:t>9</w:t>
      </w:r>
    </w:p>
    <w:p>
      <w:pPr>
        <w:tabs>
          <w:tab w:pos="9354" w:val="right" w:leader="dot"/>
        </w:tabs>
        <w:ind w:firstLine="0" w:left="283" w:right="567"/>
        <w:jc w:val="left"/>
      </w:pPr>
      <w:r>
        <w:rPr>
          <w:b w:val="0"/>
        </w:rPr>
        <w:t>1.2 Существующие каналы связи БПЛА и их ограничения</w:t>
        <w:tab/>
        <w:t>10</w:t>
      </w:r>
    </w:p>
    <w:p>
      <w:pPr>
        <w:tabs>
          <w:tab w:pos="9354" w:val="right" w:leader="dot"/>
        </w:tabs>
        <w:ind w:firstLine="0" w:left="283" w:right="567"/>
        <w:jc w:val="left"/>
      </w:pPr>
      <w:r>
        <w:rPr>
          <w:b w:val="0"/>
        </w:rPr>
        <w:t>1.3 Сравнение Wi-Fi HaLow с IEEE 802.11 и LoRa</w:t>
        <w:tab/>
        <w:t>10</w:t>
      </w:r>
    </w:p>
    <w:p>
      <w:pPr>
        <w:tabs>
          <w:tab w:pos="9354" w:val="right" w:leader="dot"/>
        </w:tabs>
        <w:ind w:firstLine="0" w:left="283" w:right="567"/>
        <w:jc w:val="left"/>
      </w:pPr>
      <w:r>
        <w:rPr>
          <w:b w:val="0"/>
        </w:rPr>
        <w:t>1.4 Круг задач, решаемых с применением Wi-Fi HaLow</w:t>
        <w:tab/>
        <w:t>14</w:t>
      </w:r>
    </w:p>
    <w:p>
      <w:pPr>
        <w:tabs>
          <w:tab w:pos="9354" w:val="right" w:leader="dot"/>
        </w:tabs>
        <w:ind w:firstLine="0" w:left="283" w:right="567"/>
        <w:jc w:val="left"/>
      </w:pPr>
      <w:r>
        <w:rPr>
          <w:b w:val="0"/>
        </w:rPr>
        <w:t>1.5 Выводы</w:t>
        <w:tab/>
        <w:t>15</w:t>
      </w:r>
    </w:p>
    <w:p>
      <w:pPr>
        <w:tabs>
          <w:tab w:pos="9354" w:val="right" w:leader="dot"/>
        </w:tabs>
        <w:ind w:firstLine="0" w:left="0" w:right="567"/>
        <w:jc w:val="left"/>
      </w:pPr>
      <w:r>
        <w:rPr>
          <w:b/>
        </w:rPr>
        <w:t>2 Обоснование экспериментального исследования, методика экспериментов, выбор и настройка средств</w:t>
        <w:tab/>
        <w:t>16</w:t>
      </w:r>
    </w:p>
    <w:p>
      <w:pPr>
        <w:tabs>
          <w:tab w:pos="9354" w:val="right" w:leader="dot"/>
        </w:tabs>
        <w:ind w:firstLine="0" w:left="283" w:right="567"/>
        <w:jc w:val="left"/>
      </w:pPr>
      <w:r>
        <w:rPr>
          <w:b w:val="0"/>
        </w:rPr>
        <w:t>2.1 Теоретическая оценка характеристик канала Wi-Fi HaLow</w:t>
        <w:tab/>
        <w:t>16</w:t>
      </w:r>
    </w:p>
    <w:p>
      <w:pPr>
        <w:tabs>
          <w:tab w:pos="9354" w:val="right" w:leader="dot"/>
        </w:tabs>
        <w:ind w:firstLine="0" w:left="283" w:right="567"/>
        <w:jc w:val="left"/>
      </w:pPr>
      <w:r>
        <w:rPr>
          <w:b w:val="0"/>
        </w:rPr>
        <w:t>2.2 Обоснование необходимости экспериментального исследования</w:t>
        <w:tab/>
        <w:t>19</w:t>
      </w:r>
    </w:p>
    <w:p>
      <w:pPr>
        <w:tabs>
          <w:tab w:pos="9354" w:val="right" w:leader="dot"/>
        </w:tabs>
        <w:ind w:firstLine="0" w:left="283" w:right="567"/>
        <w:jc w:val="left"/>
      </w:pPr>
      <w:r>
        <w:rPr>
          <w:b w:val="0"/>
        </w:rPr>
        <w:t>2.3 Программа экспериментальных исследований</w:t>
        <w:tab/>
        <w:t>22</w:t>
      </w:r>
    </w:p>
    <w:p>
      <w:pPr>
        <w:tabs>
          <w:tab w:pos="9354" w:val="right" w:leader="dot"/>
        </w:tabs>
        <w:ind w:firstLine="0" w:left="283" w:right="567"/>
        <w:jc w:val="left"/>
      </w:pPr>
      <w:r>
        <w:rPr>
          <w:b w:val="0"/>
        </w:rPr>
        <w:t>2.4 Методика измерений и обработки результатов</w:t>
        <w:tab/>
        <w:t>24</w:t>
      </w:r>
    </w:p>
    <w:p>
      <w:pPr>
        <w:tabs>
          <w:tab w:pos="9354" w:val="right" w:leader="dot"/>
        </w:tabs>
        <w:ind w:firstLine="0" w:left="283" w:right="567"/>
        <w:jc w:val="left"/>
      </w:pPr>
      <w:r>
        <w:rPr>
          <w:b w:val="0"/>
        </w:rPr>
        <w:t>2.5 Выбор аппаратных средств</w:t>
        <w:tab/>
        <w:t>27</w:t>
      </w:r>
    </w:p>
    <w:p>
      <w:pPr>
        <w:tabs>
          <w:tab w:pos="9354" w:val="right" w:leader="dot"/>
        </w:tabs>
        <w:ind w:firstLine="0" w:left="283" w:right="567"/>
        <w:jc w:val="left"/>
      </w:pPr>
      <w:r>
        <w:rPr>
          <w:b w:val="0"/>
        </w:rPr>
        <w:t>2.6 Выбор и настройка программных средств</w:t>
        <w:tab/>
        <w:t>28</w:t>
      </w:r>
    </w:p>
    <w:p>
      <w:pPr>
        <w:tabs>
          <w:tab w:pos="9354" w:val="right" w:leader="dot"/>
        </w:tabs>
        <w:ind w:firstLine="0" w:left="283" w:right="567"/>
        <w:jc w:val="left"/>
      </w:pPr>
      <w:r>
        <w:rPr>
          <w:b w:val="0"/>
        </w:rPr>
        <w:t>2.7 Выводы</w:t>
        <w:tab/>
        <w:t>31</w:t>
      </w:r>
    </w:p>
    <w:p>
      <w:pPr>
        <w:tabs>
          <w:tab w:pos="9354" w:val="right" w:leader="dot"/>
        </w:tabs>
        <w:ind w:firstLine="0" w:left="0" w:right="567"/>
        <w:jc w:val="left"/>
      </w:pPr>
      <w:r>
        <w:rPr>
          <w:b/>
        </w:rPr>
        <w:t>3 Серия экспериментов на платформе LilyGO T-HaLow и сравнение с другими протоколами</w:t>
        <w:tab/>
        <w:t>32</w:t>
      </w:r>
    </w:p>
    <w:p>
      <w:pPr>
        <w:tabs>
          <w:tab w:pos="9354" w:val="right" w:leader="dot"/>
        </w:tabs>
        <w:ind w:firstLine="0" w:left="283" w:right="567"/>
        <w:jc w:val="left"/>
      </w:pPr>
      <w:r>
        <w:rPr>
          <w:b w:val="0"/>
        </w:rPr>
        <w:t>3.1 Условия испытаний</w:t>
        <w:tab/>
        <w:t>32</w:t>
      </w:r>
    </w:p>
    <w:p>
      <w:pPr>
        <w:tabs>
          <w:tab w:pos="9354" w:val="right" w:leader="dot"/>
        </w:tabs>
        <w:ind w:firstLine="0" w:left="283" w:right="567"/>
        <w:jc w:val="left"/>
      </w:pPr>
      <w:r>
        <w:rPr>
          <w:b w:val="0"/>
        </w:rPr>
        <w:t>3.2 Влияние полосы приёма (лабораторный этап)</w:t>
        <w:tab/>
        <w:t>32</w:t>
      </w:r>
    </w:p>
    <w:p>
      <w:pPr>
        <w:tabs>
          <w:tab w:pos="9354" w:val="right" w:leader="dot"/>
        </w:tabs>
        <w:ind w:firstLine="0" w:left="283" w:right="567"/>
        <w:jc w:val="left"/>
      </w:pPr>
      <w:r>
        <w:rPr>
          <w:b w:val="0"/>
        </w:rPr>
        <w:t>3.3 Пропускная способность платформы и ограничивающее звено</w:t>
        <w:tab/>
        <w:t>34</w:t>
      </w:r>
    </w:p>
    <w:p>
      <w:pPr>
        <w:tabs>
          <w:tab w:pos="9354" w:val="right" w:leader="dot"/>
        </w:tabs>
        <w:ind w:firstLine="0" w:left="283" w:right="567"/>
        <w:jc w:val="left"/>
      </w:pPr>
      <w:r>
        <w:rPr>
          <w:b w:val="0"/>
        </w:rPr>
        <w:t>3.4 Доработки канала передачи видео и итоговые результаты</w:t>
        <w:tab/>
        <w:t>38</w:t>
      </w:r>
    </w:p>
    <w:p>
      <w:pPr>
        <w:tabs>
          <w:tab w:pos="9354" w:val="right" w:leader="dot"/>
        </w:tabs>
        <w:ind w:firstLine="0" w:left="283" w:right="567"/>
        <w:jc w:val="left"/>
      </w:pPr>
      <w:r>
        <w:rPr>
          <w:b w:val="0"/>
        </w:rPr>
        <w:t>3.5 Искажения изображения камеры, наводка передатчика и выбор мощности</w:t>
        <w:tab/>
        <w:t>44</w:t>
      </w:r>
    </w:p>
    <w:p>
      <w:pPr>
        <w:tabs>
          <w:tab w:pos="9354" w:val="right" w:leader="dot"/>
        </w:tabs>
        <w:ind w:firstLine="0" w:left="283" w:right="567"/>
        <w:jc w:val="left"/>
      </w:pPr>
      <w:r>
        <w:rPr>
          <w:b w:val="0"/>
        </w:rPr>
        <w:t>3.6 Оценка дальности: расчёт, измерение границы связи и опубликованные данные</w:t>
        <w:tab/>
        <w:t>46</w:t>
      </w:r>
    </w:p>
    <w:p>
      <w:pPr>
        <w:tabs>
          <w:tab w:pos="9354" w:val="right" w:leader="dot"/>
        </w:tabs>
        <w:ind w:firstLine="0" w:left="283" w:right="567"/>
        <w:jc w:val="left"/>
      </w:pPr>
      <w:r>
        <w:rPr>
          <w:b w:val="0"/>
        </w:rPr>
        <w:t>3.7 Сравнение с IEEE 802.11 (Wi-Fi 2,4 и 5 ГГц) и LoRa</w:t>
        <w:tab/>
        <w:t>50</w:t>
      </w:r>
    </w:p>
    <w:p>
      <w:pPr>
        <w:tabs>
          <w:tab w:pos="9354" w:val="right" w:leader="dot"/>
        </w:tabs>
        <w:ind w:firstLine="0" w:left="283" w:right="567"/>
        <w:jc w:val="left"/>
      </w:pPr>
      <w:r>
        <w:rPr>
          <w:b w:val="0"/>
        </w:rPr>
        <w:t>3.8 Выводы</w:t>
        <w:tab/>
        <w:t>57</w:t>
      </w:r>
    </w:p>
    <w:p>
      <w:pPr>
        <w:tabs>
          <w:tab w:pos="9354" w:val="right" w:leader="dot"/>
        </w:tabs>
        <w:ind w:firstLine="0" w:left="0" w:right="567"/>
        <w:jc w:val="left"/>
      </w:pPr>
      <w:r>
        <w:rPr>
          <w:b/>
        </w:rPr>
        <w:t>4 Экономическая часть</w:t>
        <w:tab/>
        <w:t>59</w:t>
      </w:r>
    </w:p>
    <w:p>
      <w:pPr>
        <w:tabs>
          <w:tab w:pos="9354" w:val="right" w:leader="dot"/>
        </w:tabs>
        <w:ind w:firstLine="0" w:left="283" w:right="567"/>
        <w:jc w:val="left"/>
      </w:pPr>
      <w:r>
        <w:rPr>
          <w:b w:val="0"/>
        </w:rPr>
        <w:t>4.1 Оценка целесообразности проведения исследования</w:t>
        <w:tab/>
        <w:t>60</w:t>
      </w:r>
    </w:p>
    <w:p>
      <w:pPr>
        <w:tabs>
          <w:tab w:pos="9354" w:val="right" w:leader="dot"/>
        </w:tabs>
        <w:ind w:firstLine="0" w:left="283" w:right="567"/>
        <w:jc w:val="left"/>
      </w:pPr>
      <w:r>
        <w:rPr>
          <w:b w:val="0"/>
        </w:rPr>
        <w:t>4.2 Планирование разработки</w:t>
        <w:tab/>
        <w:t>63</w:t>
      </w:r>
    </w:p>
    <w:p>
      <w:pPr>
        <w:tabs>
          <w:tab w:pos="9354" w:val="right" w:leader="dot"/>
        </w:tabs>
        <w:ind w:firstLine="0" w:left="283" w:right="567"/>
        <w:jc w:val="left"/>
      </w:pPr>
      <w:r>
        <w:rPr>
          <w:b w:val="0"/>
        </w:rPr>
        <w:t>4.3 Определение затрат, себестоимости и цены разработки</w:t>
        <w:tab/>
        <w:t>66</w:t>
      </w:r>
    </w:p>
    <w:p>
      <w:pPr>
        <w:tabs>
          <w:tab w:pos="9354" w:val="right" w:leader="dot"/>
        </w:tabs>
        <w:ind w:firstLine="0" w:left="283" w:right="567"/>
        <w:jc w:val="left"/>
      </w:pPr>
      <w:r>
        <w:rPr>
          <w:b w:val="0"/>
        </w:rPr>
        <w:t>4.4 Определение и оценка основных показателей экономической эффективности</w:t>
        <w:tab/>
        <w:t>70</w:t>
      </w:r>
    </w:p>
    <w:p>
      <w:pPr>
        <w:tabs>
          <w:tab w:pos="9354" w:val="right" w:leader="dot"/>
        </w:tabs>
        <w:ind w:firstLine="0" w:left="283" w:right="567"/>
        <w:jc w:val="left"/>
      </w:pPr>
      <w:r>
        <w:rPr>
          <w:b w:val="0"/>
        </w:rPr>
        <w:t>4.5 Выводы</w:t>
        <w:tab/>
        <w:t>72</w:t>
      </w:r>
    </w:p>
    <w:p>
      <w:pPr>
        <w:tabs>
          <w:tab w:pos="9354" w:val="right" w:leader="dot"/>
        </w:tabs>
        <w:ind w:firstLine="0" w:left="0" w:right="567"/>
        <w:jc w:val="left"/>
      </w:pPr>
      <w:r>
        <w:rPr>
          <w:b/>
        </w:rPr>
        <w:t>5 Охрана труда и окружающей среды</w:t>
        <w:tab/>
        <w:t>74</w:t>
      </w:r>
    </w:p>
    <w:p>
      <w:pPr>
        <w:tabs>
          <w:tab w:pos="9354" w:val="right" w:leader="dot"/>
        </w:tabs>
        <w:ind w:firstLine="0" w:left="283" w:right="567"/>
        <w:jc w:val="left"/>
      </w:pPr>
      <w:r>
        <w:rPr>
          <w:b w:val="0"/>
        </w:rPr>
        <w:t>5.1 Введение</w:t>
        <w:tab/>
        <w:t>74</w:t>
      </w:r>
    </w:p>
    <w:p>
      <w:pPr>
        <w:tabs>
          <w:tab w:pos="9354" w:val="right" w:leader="dot"/>
        </w:tabs>
        <w:ind w:firstLine="0" w:left="283" w:right="567"/>
        <w:jc w:val="left"/>
      </w:pPr>
      <w:r>
        <w:rPr>
          <w:b w:val="0"/>
        </w:rPr>
        <w:t>5.2 Оценка условий труда</w:t>
        <w:tab/>
        <w:t>76</w:t>
      </w:r>
    </w:p>
    <w:p>
      <w:pPr>
        <w:tabs>
          <w:tab w:pos="9354" w:val="right" w:leader="dot"/>
        </w:tabs>
        <w:ind w:firstLine="0" w:left="283" w:right="567"/>
        <w:jc w:val="left"/>
      </w:pPr>
      <w:r>
        <w:rPr>
          <w:b w:val="0"/>
        </w:rPr>
        <w:t>5.3 Оценка условий труда по эргономическим параметрам</w:t>
        <w:tab/>
        <w:t>84</w:t>
      </w:r>
    </w:p>
    <w:p>
      <w:pPr>
        <w:tabs>
          <w:tab w:pos="9354" w:val="right" w:leader="dot"/>
        </w:tabs>
        <w:ind w:firstLine="0" w:left="283" w:right="567"/>
        <w:jc w:val="left"/>
      </w:pPr>
      <w:r>
        <w:rPr>
          <w:b w:val="0"/>
        </w:rPr>
        <w:t>5.4 Оценка помещения по электроопасности</w:t>
        <w:tab/>
        <w:t>87</w:t>
      </w:r>
    </w:p>
    <w:p>
      <w:pPr>
        <w:tabs>
          <w:tab w:pos="9354" w:val="right" w:leader="dot"/>
        </w:tabs>
        <w:ind w:firstLine="0" w:left="283" w:right="567"/>
        <w:jc w:val="left"/>
      </w:pPr>
      <w:r>
        <w:rPr>
          <w:b w:val="0"/>
        </w:rPr>
        <w:t>5.5 Классификация помещения по пожароопасности</w:t>
        <w:tab/>
        <w:t>88</w:t>
      </w:r>
    </w:p>
    <w:p>
      <w:pPr>
        <w:tabs>
          <w:tab w:pos="9354" w:val="right" w:leader="dot"/>
        </w:tabs>
        <w:ind w:firstLine="0" w:left="283" w:right="567"/>
        <w:jc w:val="left"/>
      </w:pPr>
      <w:r>
        <w:rPr>
          <w:b w:val="0"/>
        </w:rPr>
        <w:t>5.6 Расчёт искусственного освещения</w:t>
        <w:tab/>
        <w:t>89</w:t>
      </w:r>
    </w:p>
    <w:p>
      <w:pPr>
        <w:tabs>
          <w:tab w:pos="9354" w:val="right" w:leader="dot"/>
        </w:tabs>
        <w:ind w:firstLine="0" w:left="283" w:right="567"/>
        <w:jc w:val="left"/>
      </w:pPr>
      <w:r>
        <w:rPr>
          <w:b w:val="0"/>
        </w:rPr>
        <w:t>5.7 Выводы</w:t>
        <w:tab/>
        <w:t>92</w:t>
      </w:r>
    </w:p>
    <w:p>
      <w:pPr>
        <w:tabs>
          <w:tab w:pos="9354" w:val="right" w:leader="dot"/>
        </w:tabs>
        <w:ind w:firstLine="0" w:left="0" w:right="567"/>
        <w:jc w:val="left"/>
      </w:pPr>
      <w:r>
        <w:rPr>
          <w:b w:val="0"/>
        </w:rPr>
        <w:t>Заключение</w:t>
        <w:tab/>
        <w:t>94</w:t>
      </w:r>
    </w:p>
    <w:p>
      <w:pPr>
        <w:tabs>
          <w:tab w:pos="9354" w:val="right" w:leader="dot"/>
        </w:tabs>
        <w:ind w:firstLine="0" w:left="0" w:right="567"/>
        <w:jc w:val="left"/>
      </w:pPr>
      <w:r>
        <w:rPr>
          <w:b w:val="0"/>
        </w:rPr>
        <w:t>Список использованных источников</w:t>
        <w:tab/>
        <w:t>97</w:t>
      </w:r>
    </w:p>
    <w:p>
      <w:pPr>
        <w:pStyle w:val="Heading1"/>
        <w:pageBreakBefore/>
        <w:ind w:firstLine="0"/>
        <w:jc w:val="center"/>
      </w:pPr>
      <w:r>
        <w:t>Введение</w:t>
      </w:r>
    </w:p>
    <w:p>
      <w:r>
        <w:t>Беспилотные авиационные системы за последние годы превратились из специализированной техники в массовый инструмент мониторинга, поиска и доставки [1]. В Российской Федерации их развитие закреплено национальным проектом «Беспилотные авиационные системы» на 2024–2030 годы [2].</w:t>
      </w:r>
    </w:p>
    <w:p>
      <w:r>
        <w:t>Во всех задачах, где беспилотный летательный аппарат (БПЛА) служит источником данных — при наблюдении за линейными объектами, поиске людей, мониторинге территории, — ключевым звеном оказывается канал передачи данных между аппаратом и наземным пунктом. Аппарат при этом является удалённым объектом: он находится на расстоянии от сотен метров до единиц километров, нередко вне прямой видимости, за рельефом, лесом или строениями. Дальность и надёжность этого канала определяют, решит ли аппарат свою задачу.</w:t>
      </w:r>
    </w:p>
    <w:p>
      <w:r>
        <w:t>Существующие каналы связи решают эту задачу лишь частично. Технологии семейства LoRa обеспечивают дальность в километры, но их скорость составляет от 0,3 до 37,5 кбит/с [3, 4] — этого достаточно для телеметрии, но не для видео. Сети Wi-Fi стандарта IEEE 802.11 в диапазоне 2,4 ГГц дают единицы и десятки мегабит в секунду [5], но на более высокой частоте при той же мощности сигнал ослабевает сильнее и хуже огибает препятствия [6]. Сотовые сети зависят от наземной инфраструктуры, которой нет над лесом и в удалённых районах.</w:t>
      </w:r>
    </w:p>
    <w:p>
      <w:r>
        <w:t>Технология Wi-Fi HaLow (IEEE 802.11ah) [7, 8] занимает промежуточное положение между LoRa и стандартным Wi-Fi. Она работает в нелицензируемом диапазоне ниже 1 ГГц, где радиоволны распространяются дальше за счёт меньшего затухания и лучше огибают препятствия, и при этом сохраняет стек протоколов Wi-Fi. Среди нелицензируемых технологий диапазона ниже 1 ГГц Wi-Fi HaLow — единственная, которая переносит IP-трафик со скоростью, достаточной для видео, и работает без наземной инфраструктуры.</w:t>
      </w:r>
    </w:p>
    <w:p>
      <w:r>
        <w:t>Недорогие законченные платы Wi-Fi HaLow, доступные в Российской Федерации, появились лишь в 2024–2025 годах. Большинство опубликованных оценок технологии получено аналитически или средствами имитационного моделирования [9, 10], а натурных измерений на серийном оборудовании немного. Так, в работе [11] исследована офисная сеть из 12 узлов на платах ALFA AHPI7292S (Newracom NRC7292) с одноплатными компьютерами Raspberry Pi: расстояния между узлами 2,5–18 м, канал 1 МГц европейской полосы 863–870 МГц, наибольшая полезная скорость 2,4 Мбит/с; изучались взаимные помехи и конкуренция узлов за канал, а дальность связи, передача видео и задержка не исследовались. Разрешённые условия в Российской Федерации другие — полоса 866–868 МГц и 25 мВт, — и для задачи передачи видео с борта БПЛА таких данных нет. Поэтому практическая проверка характеристик Wi-Fi HaLow на оборудовании, доступном в Российской Федерации, и разработка на её основе предложений по увеличению дальности и надёжности передачи данных с борта БПЛА являются актуальной задачей.</w:t>
      </w:r>
    </w:p>
    <w:p>
      <w:r>
        <w:rPr>
          <w:b/>
        </w:rPr>
        <w:t>Целью работы</w:t>
      </w:r>
      <w:r>
        <w:t xml:space="preserve"> является исследование эффективности использования технологии Wi-Fi HaLow на базе платформы LilyGO T-HaLow по сравнению с традиционными протоколами Wi-Fi. Критерии сравнения: дальность передачи данных; уровень сигнала (RSSI); задержка и потеря пакетов. Рассматривается БПЛА вертолётного типа со связью стандарта IEEE 802.11. Традиционный Wi-Fi в работе — IEEE 802.11n (Wi-Fi 4) в диапазоне 2,4 ГГц с каналом 20 МГц; на большом расстоянии модуль сам переходит на медленные режимы 802.11b/g. Этот радиотракт встроен в процессор ESP32-S3 той же платы.</w:t>
      </w:r>
    </w:p>
    <w:p>
      <w:pPr>
        <w:keepNext/>
      </w:pPr>
      <w:r>
        <w:t>Для достижения цели поставлены следующие задачи:</w:t>
      </w:r>
    </w:p>
    <w:p>
      <w:r>
        <w:t>1) выполнить сравнительный анализ Wi-Fi HaLow с другими вариантами организации канала связи с БПЛА (IEEE 802.11, LoRa) по критериям дальности, пропускной способности, энергопотребления и проникающей способности;</w:t>
      </w:r>
    </w:p>
    <w:p>
      <w:r>
        <w:t>2) обосновать необходимость экспериментального исследования, разработать методику проведения экспериментов, выбрать и настроить аппаратные и программные средства;</w:t>
      </w:r>
    </w:p>
    <w:p>
      <w:r>
        <w:t>3) провести серию экспериментов на платформе LilyGO T-HaLow по разработанной методике и сравнить полученные характеристики с другими протоколами, в том числе с IEEE 802.11 на идентичной аппаратной платформе;</w:t>
      </w:r>
    </w:p>
    <w:p>
      <w:r>
        <w:t>4) выполнить технико-экономическое обоснование работы: построить сетевой график, рассчитать себестоимость и цену НИР, индекс научно-технической прогрессивности, годовой экономический эффект, уровень эффективности и срок окупаемости;</w:t>
      </w:r>
    </w:p>
    <w:p>
      <w:r>
        <w:t>5) оценить условия труда специалиста: определить показатели микроклимата, световой среды и шума, тяжесть и напряжённость трудового процесса, класс условий труда, оценить рабочее место по эргономическим параметрам, электро- и пожароопасность помещения, рассчитать искусственное освещение;</w:t>
      </w:r>
    </w:p>
    <w:p>
      <w:r>
        <w:t>6) сформулировать основные результаты и предложения по интеграции разработанных решений в существующие модели БПЛА.</w:t>
      </w:r>
    </w:p>
    <w:p>
      <w:r>
        <w:rPr>
          <w:b/>
        </w:rPr>
        <w:t>Объект исследования</w:t>
      </w:r>
      <w:r>
        <w:t xml:space="preserve"> — канал передачи данных Wi-Fi HaLow в полосе 866–868 МГц между бортом БПЛА и наземным пунктом.</w:t>
      </w:r>
    </w:p>
    <w:p>
      <w:r>
        <w:rPr>
          <w:b/>
        </w:rPr>
        <w:t>Предмет исследования</w:t>
      </w:r>
      <w:r>
        <w:t xml:space="preserve"> — дальность, уровень принимаемого сигнала, задержка и потери пакетов этого канала, его пропускная способность, а также факторы, которые ограничивают их на платформе LilyGO T-HaLow, и способы повышения дальности и надёжности.</w:t>
      </w:r>
    </w:p>
    <w:p>
      <w:r>
        <w:rPr>
          <w:b/>
        </w:rPr>
        <w:t>Методы исследования</w:t>
      </w:r>
      <w:r>
        <w:t>: теоретическая оценка на основе моделей распространения радиоволн и энергетических соотношений, стендовый эксперимент, измерение границы связи на трассе прямой видимости, сопоставление с опубликованными натурными данными, статистическая обработка результатов измерений.</w:t>
      </w:r>
    </w:p>
    <w:p>
      <w:pPr>
        <w:keepNext/>
      </w:pPr>
      <w:r>
        <w:rPr>
          <w:b/>
        </w:rPr>
        <w:t>Научная новизна</w:t>
      </w:r>
      <w:r>
        <w:t xml:space="preserve"> работы состоит в следующем:</w:t>
      </w:r>
    </w:p>
    <w:p>
      <w:r>
        <w:t xml:space="preserve">– </w:t>
      </w:r>
      <w:r>
        <w:t>получены экспериментальные данные о характеристиках канала Wi-Fi HaLow — пропускной способности, уровне сигнала, задержке и потерях — на недорогой серийной платформе с камерой в условиях, разрешённых в Российской Федерации: канал 2 МГц в полосе 866–868 МГц при мощности не более 25 мВт;</w:t>
      </w:r>
    </w:p>
    <w:p>
      <w:r>
        <w:t xml:space="preserve">– </w:t>
      </w:r>
      <w:r>
        <w:t>установлено, что после устранения программных ограничений пропускную способность платформы ограничивает радиоканал между платами: около трети кадров теряется в эфире с первой попытки и передаётся повторно, причём эта доля не зависит ни от уровня сигнала, ни от скорости модуляции;</w:t>
      </w:r>
    </w:p>
    <w:p>
      <w:r>
        <w:t xml:space="preserve">– </w:t>
      </w:r>
      <w:r>
        <w:t>установлено, что изображение камеры искажает наводка собственного передатчика платформы, и предложено устранять её без изменения аппаратной части: регулятор держит мощность передатчика минимальной, при которой отношение сигнал/шум остаётся не ниже 20 дБ, а при повышенной мощности камера снимает только в паузах передачи — ценой небольшого снижения частоты видеокадров;</w:t>
      </w:r>
    </w:p>
    <w:p>
      <w:r>
        <w:t xml:space="preserve">– </w:t>
      </w:r>
      <w:r>
        <w:t>предложены программные механизмы канального уровня — нижняя граница модуляции по уровню сигнала, гибрид помехоустойчивого кодирования и досылки пропавших фрагментов, управление качеством сжатия с инерцией, гасящей его колебания, — и каждый проверен поочерёдным включением и выключением в одном опыте; они повышают надёжность передачи видео без сокращения дальности;</w:t>
      </w:r>
    </w:p>
    <w:p>
      <w:r>
        <w:t xml:space="preserve">– </w:t>
      </w:r>
      <w:r>
        <w:t>измерена граница связи Wi-Fi HaLow и Wi-Fi 2,4 ГГц на одной паре плат: на трассе прямой видимости Wi-Fi HaLow при 14 дБм удерживает связь до 1,55 км, Wi-Fi 2,4 ГГц при 20 дБм — до 0,87 км, то есть Wi-Fi HaLow — в 1,8 раза дальше при мощности на 6 дБ ниже.</w:t>
      </w:r>
    </w:p>
    <w:p>
      <w:r>
        <w:rPr>
          <w:b/>
        </w:rPr>
        <w:t>Практическая значимость</w:t>
      </w:r>
      <w:r>
        <w:t xml:space="preserve"> работы: создан стенд передачи видео по Wi-Fi HaLow с одновременной регистрацией показателей канала, разработаны программное обеспечение передатчика и приёмника, доработки программного обеспечения радиомодуля и программы обработки журналов измерений (сводка опыта, сравнение вариантов, расчёт границы связи), сформулированы предложения по увеличению дальности и надёжности передачи данных с борта БПЛА.</w:t>
      </w:r>
    </w:p>
    <w:p>
      <w:r>
        <w:t xml:space="preserve">Пояснительная записка состоит из введения, пяти глав, заключения и списка использованных источников. В первой главе выполнен сравнительный анализ Wi-Fi HaLow с другими вариантами канала связи с БПЛА, во второй — обоснование эксперимента, его методика, выбор и настройка средств, в третьей приведены результаты серии экспериментов и сравнение с другими протоколами. Четвёртая глава содержит экономическую часть, пятая — раздел охраны труда и окружающей среды. В заключении сформулированы основные результаты и предложения по интеграции разработанных решений в существующие модели БПЛА. </w:t>
      </w:r>
      <w:r>
        <w:t>Пояснительная записка: 107 с., 14 рис., 40 табл., 82 источн.</w:t>
      </w:r>
    </w:p>
    <w:p>
      <w:pPr>
        <w:pStyle w:val="Heading1"/>
        <w:pageBreakBefore/>
      </w:pPr>
      <w:r>
        <w:t>1 Сравнительный анализ Wi-Fi HaLow с другими вариантами канала связи с БПЛА</w:t>
      </w:r>
    </w:p>
    <w:p>
      <w:r>
        <w:t>В главе рассмотрены задачи, в которых БПЛА выступает удалённым источником данных, проанализированы существующие каналы связи, выполнено сравнение Wi-Fi HaLow с IEEE 802.11 и LoRa по критериям дальности, пропускной способности, энергопотребления и проникающей способности и определён круг задач, решаемых с помощью Wi-Fi HaLow.</w:t>
      </w:r>
    </w:p>
    <w:p>
      <w:pPr>
        <w:pStyle w:val="Heading2"/>
      </w:pPr>
      <w:r>
        <w:t>1.1 Задачи применения БПЛА, требующие канала передачи данных</w:t>
      </w:r>
    </w:p>
    <w:p>
      <w:r>
        <w:t>Объектом рассмотрения в работе является БПЛА вертолётного типа. Такой аппарат может зависать над точкой и выполнять полёт на малой скорости, поэтому применяется для наблюдения, поиска и обследования объектов [1]. По характеру передаваемых данных задачи его применения делятся на три группы.</w:t>
      </w:r>
    </w:p>
    <w:p>
      <w:r>
        <w:t>Первая — управление и телеметрия: команды оператора и параметры полёта. Их объём мал, но требования к своевременности и надёжности доставки жёсткие. Вторая — видео для ситуационной осведомлённости оператора: при поиске людей, наблюдении за пожаром или обходе протяжённого объекта оператору нужна непрерывная картинка, пусть и невысокого разрешения. Третья — передача материалов обследования: снимков высокого разрешения и результатов измерений, для которых важен объём, а не задержка.</w:t>
      </w:r>
    </w:p>
    <w:p>
      <w:r>
        <w:t>Функционально группы различаются тем, что требуется от канала. Телеметрии достаточно единиц килобит в секунду, но каждая команда должна дойти без потерь и без задержки. Видео требует сотен килобит в секунду и малой задержки, а потерю отдельного видеокадра оператор почти не замечает. Материалам обследования нужна высокая скорость, чтобы передать большой объём за время полёта, а задержка не важна: потерянные части можно передать повторно.</w:t>
      </w:r>
    </w:p>
    <w:p>
      <w:r>
        <w:t>Общая черта всех групп — расстояние. Аппарат удалён от наземного пункта на сотни метров или километры и часто находится вне прямой видимости. Поэтому канал должен сочетать дальность с пропускной способностью, достаточной хотя бы для видео пониженного разрешения, а его надёжность — потери и задержка — определяет, сможет ли оператор пользоваться этим видео.</w:t>
      </w:r>
    </w:p>
    <w:p>
      <w:pPr>
        <w:pStyle w:val="Heading2"/>
      </w:pPr>
      <w:r>
        <w:t>1.2 Существующие каналы связи БПЛА и их ограничения</w:t>
      </w:r>
    </w:p>
    <w:p>
      <w:r>
        <w:t>Каналы управления и телеметрии большинства современных аппаратов строятся на модуляции LoRa в диапазонах 868/915 МГц и 2,4 ГГц [12]. Расширение спектра даёт высокую чувствительность приёмника и дальность в километры, но ценой скорости: от 0,3 до 37,5 кбит/с [3, 4]. Видео по такому каналу не передать.</w:t>
      </w:r>
    </w:p>
    <w:p>
      <w:r>
        <w:t>Видео с малых аппаратов передают по Wi-Fi стандарта IEEE 802.11 в диапазоне 2,4 ГГц. Такой канал даёт единицы и десятки мегабит в секунду и переносит IP-трафик [5]; его ограничение — частота: на 2,4 ГГц потери в свободном пространстве на 9 дБ больше, чем на частоте 867 МГц, а огибание препятствий слабее [6].</w:t>
      </w:r>
    </w:p>
    <w:p>
      <w:r>
        <w:t>Сотовые сети четвёртого поколения зависят от покрытия, которого нет над лесом, в горах и в удалённых районах, а для задач поиска и мониторинга характерны именно такие районы.</w:t>
      </w:r>
    </w:p>
    <w:p>
      <w:r>
        <w:t>Для беспилотных систем в Российской Федерации выделены полосы 117,975–137 МГц, 5030–5091 МГц и 5850–6425 МГц [13]. Их использование подчинено разрешительному порядку и требует сертифицированного оборудования, что делает их недоступными для малых операторов и исследовательских работ.</w:t>
      </w:r>
    </w:p>
    <w:p>
      <w:r>
        <w:t>Таким образом, не хватает канала в свободном диапазоне — таком, который можно использовать без разрешения на частоты, соблюдая нормы ГКРЧ, — и который одновременно обладает дальностью диапазона ниже 1 ГГц, пропускной способностью, достаточной для видео, и поддержкой IP-трафика без наземной инфраструктуры.</w:t>
      </w:r>
    </w:p>
    <w:p>
      <w:pPr>
        <w:pStyle w:val="Heading2"/>
      </w:pPr>
      <w:r>
        <w:t>1.3 Сравнение Wi-Fi HaLow с IEEE 802.11 и LoRa</w:t>
      </w:r>
    </w:p>
    <w:p>
      <w:r>
        <w:t>Сравнение выполнено по четырём критериям задания: дальности, пропускной способности, энергопотреблению и проникающей способности.</w:t>
      </w:r>
    </w:p>
    <w:p>
      <w:r>
        <w:rPr>
          <w:b/>
        </w:rPr>
        <w:t xml:space="preserve">Дальность. </w:t>
      </w:r>
      <w:r>
        <w:t>Затухание в свободном пространстве растёт с квадратом частоты. По формуле Фрииса [14] потери на трассе составляют</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 = 20 lg </m:t>
              </m:r>
              <m:r>
                <w:rPr>
                  <w:rFonts w:ascii="Cambria Math" w:hAnsi="Cambria Math"/>
                </w:rPr>
                <m:t xml:space="preserve">d</m:t>
              </m:r>
              <m:r>
                <m:rPr>
                  <m:sty m:val="p"/>
                </m:rPr>
                <w:rPr>
                  <w:rFonts w:ascii="Cambria Math" w:hAnsi="Cambria Math"/>
                </w:rPr>
                <m:t xml:space="preserve"> + 20 lg </m:t>
              </m:r>
              <m:r>
                <w:rPr>
                  <w:rFonts w:ascii="Cambria Math" w:hAnsi="Cambria Math"/>
                </w:rPr>
                <m:t xml:space="preserve">f</m:t>
              </m:r>
              <m:r>
                <m:rPr>
                  <m:sty m:val="p"/>
                </m:rPr>
                <w:rPr>
                  <w:rFonts w:ascii="Cambria Math" w:hAnsi="Cambria Math"/>
                </w:rPr>
                <m:t xml:space="preserve"> + 32,44,</m:t>
              </m:r>
            </m:oMath>
          </w:p>
        </w:tc>
        <w:tc>
          <w:tcPr>
            <w:tcW w:type="dxa" w:w="1020"/>
            <w:vAlign w:val="center"/>
          </w:tcPr>
          <w:p>
            <w:pPr>
              <w:pStyle w:val="Formula"/>
              <w:jc w:val="right"/>
            </w:pPr>
            <w:r>
              <w:t>(1.1)</w:t>
            </w:r>
          </w:p>
        </w:tc>
      </w:tr>
    </w:tbl>
    <w:p>
      <w:pPr>
        <w:ind w:firstLine="0"/>
      </w:pPr>
      <w:r>
        <w:t xml:space="preserve">где </w:t>
      </w:r>
      <w:r>
        <w:t>L₀ — потери на трассе, дБ; d — расстояние, км; f — частота, МГц.</w:t>
      </w:r>
    </w:p>
    <w:p>
      <w:r>
        <w:t>На расстоянии 1 км потери на частоте 867 МГц составляют 91,2 дБ, на частоте 2437 МГц — 100,2 дБ. Выигрыш Wi-Fi HaLow только за счёт частоты — 9,0 дБ.</w:t>
      </w:r>
    </w:p>
    <w:p>
      <w:r>
        <w:t>Второй источник выигрыша — узкий канал. Мощность теплового шума в полосе приёмника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r>
                <w:rPr>
                  <w:rFonts w:ascii="Cambria Math" w:hAnsi="Cambria Math"/>
                </w:rPr>
                <m:t xml:space="preserve">N</m:t>
              </m:r>
              <m:r>
                <m:rPr>
                  <m:sty m:val="p"/>
                </m:rPr>
                <w:rPr>
                  <w:rFonts w:ascii="Cambria Math" w:hAnsi="Cambria Math"/>
                </w:rPr>
                <m:t xml:space="preserve"> = -174 + 10 lg </m:t>
              </m:r>
              <m:r>
                <w:rPr>
                  <w:rFonts w:ascii="Cambria Math" w:hAnsi="Cambria Math"/>
                </w:rPr>
                <m:t xml:space="preserve">B</m:t>
              </m:r>
              <m:r>
                <m:rPr>
                  <m:sty m:val="p"/>
                </m:rPr>
                <w:rPr>
                  <w:rFonts w:ascii="Cambria Math" w:hAnsi="Cambria Math"/>
                </w:rPr>
                <m:t xml:space="preserve"> + </m:t>
              </m:r>
              <m:r>
                <w:rPr>
                  <w:rFonts w:ascii="Cambria Math" w:hAnsi="Cambria Math"/>
                </w:rPr>
                <m:t xml:space="preserve">NF</m:t>
              </m:r>
              <m:r>
                <m:rPr>
                  <m:sty m:val="p"/>
                </m:rPr>
                <w:rPr>
                  <w:rFonts w:ascii="Cambria Math" w:hAnsi="Cambria Math"/>
                </w:rPr>
                <m:t xml:space="preserve">,</m:t>
              </m:r>
            </m:oMath>
          </w:p>
        </w:tc>
        <w:tc>
          <w:tcPr>
            <w:tcW w:type="dxa" w:w="1020"/>
            <w:vAlign w:val="center"/>
          </w:tcPr>
          <w:p>
            <w:pPr>
              <w:pStyle w:val="Formula"/>
              <w:jc w:val="right"/>
            </w:pPr>
            <w:r>
              <w:t>(1.2)</w:t>
            </w:r>
          </w:p>
        </w:tc>
      </w:tr>
    </w:tbl>
    <w:p>
      <w:pPr>
        <w:ind w:firstLine="0"/>
      </w:pPr>
      <w:r>
        <w:t xml:space="preserve">где </w:t>
      </w:r>
      <w:r>
        <w:t>N — мощность шума, дБм; B — полоса, Гц; NF — коэффициент шума приёмника, дБ.</w:t>
      </w:r>
    </w:p>
    <w:p>
      <w:r>
        <w:t>Формула получена из мощности теплового шума N = kTB [6], где k = 1,38·10⁻²³ Дж/К — постоянная Больцмана, T — шумовая температура. При стандартной температуре T₀ = 290 К спектральная плотность шума kT₀ = 4·10⁻²¹ Вт/Гц, что составляет −204 дБВт/Гц, или −174 дБм/Гц; слагаемое 10 lg B переводит плотность в мощность в полосе B, а коэффициент шума NF учитывает собственные шумы приёмника.</w:t>
      </w:r>
    </w:p>
    <w:p>
      <w:r>
        <w:t>Канал Wi-Fi шириной 20 МГц собирает шум −101,0 дБм, канал Wi-Fi HaLow шириной 2 МГц — −111,0 дБм: ещё 10,0 дБ в пользу узкого канала. Ширина 2 МГц выбрана не произвольно: в Российской Федерации для таких устройств выделены полосы 864–865 и 866–868 МГц [15], и канал шире 2 МГц в них не помещается. Канал 8 МГц, который допускает стандарт IEEE 802.11ah [7], дал бы скорость до четырёх раз выше, но собирал бы на 6,0 дБ больше шума и не поместился бы в разрешённые полосы. Вместе частота и узкий канал дают 19,0 дБ, но это верхняя оценка: чтобы передать в узком канале столько же данных, нужна более сложная модуляция, а ей нужен более сильный сигнал. Реальный выигрыш показывают паспортные чувствительности приёмников (см. «Чувствительность»). Если обе технологии передают с одинаковой мощностью на своей наименьшей скорости (Wi-Fi HaLow — MCS 0, 0,65 Мбит/с; Wi-Fi 2,4 ГГц — 802.11b, 1 Мбит/с), выигрыш Wi-Fi HaLow составляет 11,6 дБ. Если же обе передают с одной и той же скоростью 6,5 Мбит/с — наибольшей для канала 2 МГц Wi-Fi HaLow (MCS 7) и наименьшей для 802.11n (MCS 0), — выигрыш лишь 3,4 дБ. Проектная дальность Wi-Fi HaLow — около 1 км [10, 16]. Производитель радиомодуля платформы указывает для канала 2 МГц при мощности +20 дБм дальность 1200 м со скоростью TCP более 2 Мбит/с в условиях без препятствий [17]. Нормы Российской Федерации ограничивают мощность Wi-Fi HaLow сильнее, чем мощность Wi-Fi 2,4 ГГц (см. «Регулирование»): при мощности 14 дБм против 20 дБм у Wi-Fi выигрыш на малых скоростях сокращается до 5,6 дБ (по расчёту дальность в свободном пространстве в 1,9 раза больше; измерение на паре плат этой работы дало 1,8 раза, подраздел 3.7), а на скорости 6,5 Мбит/с дальности сопоставимы.</w:t>
      </w:r>
    </w:p>
    <w:p>
      <w:r>
        <w:rPr>
          <w:b/>
        </w:rPr>
        <w:t xml:space="preserve">Проникающая способность. </w:t>
      </w:r>
      <w:r>
        <w:t>Радиоволны диапазона ниже 1 ГГц лучше огибают препятствия и слабее затухают в растительности и стенах, чем волны 2,4 и 5 ГГц [6]. По модели потерь проникновения 3GPP TR 38.901 (бетон: 5 + 4f дБ, f в ГГц) бетонная стена ослабляет сигнал на 8,5 дБ на частоте 867 МГц, на 14,8 дБ на 2,44 ГГц и на 27,0 дБ на 5,5 ГГц [18]. Для БПЛА, работающих над лесом, за рельефом и строениями, это главное преимущество диапазона ниже 1 ГГц.</w:t>
      </w:r>
    </w:p>
    <w:p>
      <w:r>
        <w:rPr>
          <w:b/>
        </w:rPr>
        <w:t xml:space="preserve">Пропускная способность. </w:t>
      </w:r>
      <w:r>
        <w:t>Скорость на физическом уровне Wi-Fi HaLow составляет от 150 кбит/с в канале 1 МГц до 346,7 Мбит/с в канале 16 МГц с четырьмя пространственными потоками [16]. В каналах 1–2 МГц, которые помещаются в разрешённые полосы 864–865 и 866–868 МГц, скорость одного потока по стандарту — от 0,15 до 7,8 Мбит/с (таблица 2.1) [19]; радиомодуль платформы этой работы в канале 2 МГц использует схемы MCS 0–7, то есть до 6,5 Мбит/с. Wi-Fi 2,4 ГГц на процессоре ESP32-S3 той же платы передаёт в эфире в лабораторных условиях 20 Мбит/с по TCP и 30 Мбит/с по UDP [20]. LoRa в канале 125 кГц даёт от 293 до 5468 бит/с в зависимости от коэффициента расширения спектра [3], а наибольшая скорость приёмопередатчиков SX127x — 37,5 кбит/с [4]: видео по такому каналу не передать.</w:t>
      </w:r>
    </w:p>
    <w:p>
      <w:r>
        <w:t xml:space="preserve">Как скорость физического уровня Wi-Fi HaLow зависит от схемы модуляции и ширины канала, показано на рисунке </w:t>
      </w:r>
      <w:r>
        <w:t>1.1</w:t>
      </w:r>
      <w:r>
        <w:t xml:space="preserve"> [19]. В Российской Федерации доступны только две нижние кривые — каналы 1 и 2 МГц; видеопотоку стенда (около 1 Мбит/с) канала 2 МГц хватает уже начиная с MCS 1, а широкие каналы 4–16 МГц в разрешённые полосы не помещаются.</w:t>
      </w:r>
    </w:p>
    <w:p>
      <w:pPr>
        <w:keepNext/>
        <w:ind w:firstLine="0"/>
        <w:jc w:val="center"/>
      </w:pPr>
      <w:r>
        <w:drawing>
          <wp:inline xmlns:a="http://schemas.openxmlformats.org/drawingml/2006/main" xmlns:pic="http://schemas.openxmlformats.org/drawingml/2006/picture">
            <wp:extent cx="5400000" cy="3411265"/>
            <wp:docPr id="1" name="Picture 1"/>
            <wp:cNvGraphicFramePr>
              <a:graphicFrameLocks noChangeAspect="1"/>
            </wp:cNvGraphicFramePr>
            <a:graphic>
              <a:graphicData uri="http://schemas.openxmlformats.org/drawingml/2006/picture">
                <pic:pic>
                  <pic:nvPicPr>
                    <pic:cNvPr id="0" name="fig_mcs_channels.png"/>
                    <pic:cNvPicPr/>
                  </pic:nvPicPr>
                  <pic:blipFill>
                    <a:blip r:embed="rId10"/>
                    <a:stretch>
                      <a:fillRect/>
                    </a:stretch>
                  </pic:blipFill>
                  <pic:spPr>
                    <a:xfrm>
                      <a:off x="0" y="0"/>
                      <a:ext cx="5400000" cy="3411265"/>
                    </a:xfrm>
                    <a:prstGeom prst="rect"/>
                  </pic:spPr>
                </pic:pic>
              </a:graphicData>
            </a:graphic>
          </wp:inline>
        </w:drawing>
      </w:r>
    </w:p>
    <w:p>
      <w:pPr>
        <w:ind w:firstLine="0"/>
        <w:jc w:val="center"/>
      </w:pPr>
      <w:r>
        <w:t>Рисунок 1.1 – Скорость физического уровня Wi-Fi HaLow по схемам модуляции и кодирования для каналов разной ширины (один поток)</w:t>
      </w:r>
    </w:p>
    <w:p>
      <w:r>
        <w:rPr>
          <w:b/>
        </w:rPr>
        <w:t xml:space="preserve">Чувствительность. </w:t>
      </w:r>
      <w:r>
        <w:t>По паспорту радиомодуля TX-AH чувствительность (при доле ошибочных пакетов 10 %) составляет −105 дБм в канале 1 МГц на MCS 10, −95 дБм в канале 8 МГц на MCS 0 и −81 дБм на MCS 7 [17]; для канала 2 МГц, с которым работает стенд, паспорт значений не даёт. Их можно оценить по формуле (1.2): канал 2 МГц вчетверо уже 8 МГц и собирает вчетверо меньше шума, то есть на 10 lg(8/2) = 6 дБ меньше, а при той же модуляции приёмнику нужно то же превышение сигнала над шумом. Поэтому чувствительность в канале 2 МГц на 6 дБ лучше: около −101 дБм на MCS 0 и −87 дБм на MCS 7. Эта оценка нужна для расчёта дальности в главе 3. У Wi-Fi 2,4 ГГц процессора ESP32-S3 — от −98,4 дБм (802.11b, 1 Мбит/с) до −74,2 дБм (802.11n, MCS 7) [21], у LoRa — от −123 до −137 дБм [3].</w:t>
      </w:r>
    </w:p>
    <w:p>
      <w:r>
        <w:rPr>
          <w:b/>
        </w:rPr>
        <w:t xml:space="preserve">Энергопотребление. </w:t>
      </w:r>
      <w:r>
        <w:t>Стандарт IEEE 802.11ah содержит механизмы для устройств с батарейным питанием: целевое время пробуждения (TWT) и окно ограниченного доступа (RAW) [10, 16]. Радиомодуль TX-AH потребляет при передаче на +20 дБм 300 мА, при приёме 55–100 мА [17]; Wi-Fi ESP32-S3 — 283–340 мА при передаче и 88–91 мА при приёме [21]; приёмопередатчик LoRa RFM95 — от 66 до 396 мВт при мощности от −4 до +20 дБм [22]. Токи Wi-Fi HaLow и Wi-Fi 2,4 ГГц сопоставимы; LoRa экономичнее при малых объёмах данных. Для БПЛА энергопотребление радиоканала мало по сравнению с потреблением двигателей, поэтому этот критерий важнее для наземных датчиков. Механизмы TWT и RAW проявляются в сетях из многих станций и в двухузловой конфигурации этой работы не исследуются.</w:t>
      </w:r>
    </w:p>
    <w:p>
      <w:r>
        <w:rPr>
          <w:b/>
        </w:rPr>
        <w:t xml:space="preserve">Регулирование. </w:t>
      </w:r>
      <w:r>
        <w:t>В России диапазон 868 МГц открыт без лицензии для устройств любого назначения: решение ГКРЧ от 07.05.2007 № 07-20-03-001 [15], полоса 866–868 МГц добавлена решением ГКРЧ № 18-46-03-1 [23]. Условия для этой полосы: эффективная излучаемая мощность (ЭИМ) не более 25 мВт, то есть 14 дБм, а непрерывная передача допускается только с прослушиванием эфира перед излучением (LBT). Wi-Fi HaLow этому соответствует: станция передаёт, только убедившись, что канал свободен (механизм CSMA/CA). В полосу помещаются каналы шириной 1 и 2 МГц; в работе использован канал 2 МГц с центром 867,0 МГц при мощности на выходе модуля не более 14 дБм, штатные антенны плат сигнал заметно не усиливают. В пределах аэродромов диапазон применять запрещено, что для БПЛА существенно. Для Wi-Fi 2,4 ГГц то же решение разрешает до 100 мВт (20 дБм) эквивалентной изотропно излучаемой мощности (ЭИИМ) [15]; в этих единицах норма Wi-Fi HaLow составляет 16,15 дБм.</w:t>
      </w:r>
    </w:p>
    <w:p>
      <w:r>
        <w:t xml:space="preserve">Результаты сравнения сведены в таблицу </w:t>
      </w:r>
      <w:r>
        <w:t>1.1</w:t>
      </w:r>
      <w:r>
        <w:t>.</w:t>
      </w:r>
    </w:p>
    <w:p>
      <w:pPr>
        <w:pStyle w:val="TableCaption"/>
        <w:ind w:firstLine="0"/>
      </w:pPr>
      <w:r>
        <w:t>Таблица 1.1 – Сравнение LoRa, Wi-Fi HaLow и Wi-Fi 2,4 ГГц</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2381"/>
        <w:gridCol w:w="2154"/>
        <w:gridCol w:w="2494"/>
        <w:gridCol w:w="2324"/>
      </w:tblGrid>
      <w:tr>
        <w:trPr>
          <w:cantSplit/>
          <w:tblHeader w:val="true"/>
        </w:trPr>
        <w:tc>
          <w:tcPr>
            <w:tcW w:type="dxa" w:w="2381"/>
            <w:vAlign w:val="center"/>
          </w:tcPr>
          <w:p>
            <w:pPr>
              <w:pStyle w:val="TableText"/>
              <w:keepNext/>
              <w:jc w:val="center"/>
            </w:pPr>
            <w:r>
              <w:rPr>
                <w:b/>
                <w:sz w:val="22"/>
              </w:rPr>
              <w:t>Критерий</w:t>
            </w:r>
          </w:p>
        </w:tc>
        <w:tc>
          <w:tcPr>
            <w:tcW w:type="dxa" w:w="2154"/>
            <w:vAlign w:val="center"/>
          </w:tcPr>
          <w:p>
            <w:pPr>
              <w:pStyle w:val="TableText"/>
              <w:keepNext/>
              <w:jc w:val="center"/>
            </w:pPr>
            <w:r>
              <w:rPr>
                <w:b/>
                <w:sz w:val="22"/>
              </w:rPr>
              <w:t>LoRa</w:t>
            </w:r>
          </w:p>
        </w:tc>
        <w:tc>
          <w:tcPr>
            <w:tcW w:type="dxa" w:w="2494"/>
            <w:vAlign w:val="center"/>
          </w:tcPr>
          <w:p>
            <w:pPr>
              <w:pStyle w:val="TableText"/>
              <w:keepNext/>
              <w:jc w:val="center"/>
            </w:pPr>
            <w:r>
              <w:rPr>
                <w:b/>
                <w:sz w:val="22"/>
              </w:rPr>
              <w:t>Wi-Fi HaLow (IEEE 802.11ah)</w:t>
            </w:r>
          </w:p>
        </w:tc>
        <w:tc>
          <w:tcPr>
            <w:tcW w:type="dxa" w:w="2324"/>
            <w:vAlign w:val="center"/>
          </w:tcPr>
          <w:p>
            <w:pPr>
              <w:pStyle w:val="TableText"/>
              <w:keepNext/>
              <w:jc w:val="center"/>
            </w:pPr>
            <w:r>
              <w:rPr>
                <w:b/>
                <w:sz w:val="22"/>
              </w:rPr>
              <w:t>Wi-Fi (IEEE 802.11n, 2,4 ГГц)</w:t>
            </w:r>
          </w:p>
        </w:tc>
      </w:tr>
      <w:tr>
        <w:trPr>
          <w:cantSplit/>
        </w:trPr>
        <w:tc>
          <w:tcPr>
            <w:tcW w:type="dxa" w:w="2381"/>
            <w:vAlign w:val="center"/>
          </w:tcPr>
          <w:p>
            <w:pPr>
              <w:pStyle w:val="TableText"/>
              <w:keepNext/>
              <w:jc w:val="left"/>
            </w:pPr>
            <w:r>
              <w:rPr>
                <w:sz w:val="22"/>
              </w:rPr>
              <w:t>Полосы в РФ</w:t>
            </w:r>
          </w:p>
        </w:tc>
        <w:tc>
          <w:tcPr>
            <w:tcW w:type="dxa" w:w="2154"/>
            <w:vAlign w:val="center"/>
          </w:tcPr>
          <w:p>
            <w:pPr>
              <w:pStyle w:val="TableText"/>
              <w:keepNext/>
              <w:jc w:val="center"/>
            </w:pPr>
            <w:r>
              <w:rPr>
                <w:sz w:val="22"/>
              </w:rPr>
              <w:t>864–865, 866–868 МГц</w:t>
            </w:r>
          </w:p>
        </w:tc>
        <w:tc>
          <w:tcPr>
            <w:tcW w:type="dxa" w:w="2494"/>
            <w:vAlign w:val="center"/>
          </w:tcPr>
          <w:p>
            <w:pPr>
              <w:pStyle w:val="TableText"/>
              <w:keepNext/>
              <w:jc w:val="center"/>
            </w:pPr>
            <w:r>
              <w:rPr>
                <w:sz w:val="22"/>
              </w:rPr>
              <w:t>864–865, 866–868 МГц</w:t>
            </w:r>
          </w:p>
        </w:tc>
        <w:tc>
          <w:tcPr>
            <w:tcW w:type="dxa" w:w="2324"/>
            <w:vAlign w:val="center"/>
          </w:tcPr>
          <w:p>
            <w:pPr>
              <w:pStyle w:val="TableText"/>
              <w:keepNext/>
              <w:jc w:val="center"/>
            </w:pPr>
            <w:r>
              <w:rPr>
                <w:sz w:val="22"/>
              </w:rPr>
              <w:t>2400–2483,5 МГц</w:t>
            </w:r>
          </w:p>
        </w:tc>
      </w:tr>
      <w:tr>
        <w:trPr>
          <w:cantSplit/>
        </w:trPr>
        <w:tc>
          <w:tcPr>
            <w:tcW w:type="dxa" w:w="2381"/>
            <w:vAlign w:val="center"/>
          </w:tcPr>
          <w:p>
            <w:pPr>
              <w:pStyle w:val="TableText"/>
              <w:keepNext/>
              <w:jc w:val="left"/>
            </w:pPr>
            <w:r>
              <w:rPr>
                <w:sz w:val="22"/>
              </w:rPr>
              <w:t>Допустимая мощность в РФ</w:t>
            </w:r>
          </w:p>
        </w:tc>
        <w:tc>
          <w:tcPr>
            <w:tcW w:type="dxa" w:w="2154"/>
            <w:vAlign w:val="center"/>
          </w:tcPr>
          <w:p>
            <w:pPr>
              <w:pStyle w:val="TableText"/>
              <w:keepNext/>
              <w:jc w:val="center"/>
            </w:pPr>
            <w:r>
              <w:rPr>
                <w:sz w:val="22"/>
              </w:rPr>
              <w:t>25 мВт ЭИМ</w:t>
            </w:r>
          </w:p>
        </w:tc>
        <w:tc>
          <w:tcPr>
            <w:tcW w:type="dxa" w:w="2494"/>
            <w:vAlign w:val="center"/>
          </w:tcPr>
          <w:p>
            <w:pPr>
              <w:pStyle w:val="TableText"/>
              <w:keepNext/>
              <w:jc w:val="center"/>
            </w:pPr>
            <w:r>
              <w:rPr>
                <w:sz w:val="22"/>
              </w:rPr>
              <w:t>25 мВт ЭИМ (16,15 дБм ЭИИМ)</w:t>
            </w:r>
          </w:p>
        </w:tc>
        <w:tc>
          <w:tcPr>
            <w:tcW w:type="dxa" w:w="2324"/>
            <w:vAlign w:val="center"/>
          </w:tcPr>
          <w:p>
            <w:pPr>
              <w:pStyle w:val="TableText"/>
              <w:keepNext/>
              <w:jc w:val="center"/>
            </w:pPr>
            <w:r>
              <w:rPr>
                <w:sz w:val="22"/>
              </w:rPr>
              <w:t>100 мВт ЭИИМ</w:t>
            </w:r>
          </w:p>
        </w:tc>
      </w:tr>
      <w:tr>
        <w:trPr>
          <w:cantSplit/>
        </w:trPr>
        <w:tc>
          <w:tcPr>
            <w:tcW w:type="dxa" w:w="2381"/>
            <w:vAlign w:val="center"/>
          </w:tcPr>
          <w:p>
            <w:pPr>
              <w:pStyle w:val="TableText"/>
              <w:keepNext/>
              <w:jc w:val="left"/>
            </w:pPr>
            <w:r>
              <w:rPr>
                <w:sz w:val="22"/>
              </w:rPr>
              <w:t>Ширина канала</w:t>
            </w:r>
          </w:p>
        </w:tc>
        <w:tc>
          <w:tcPr>
            <w:tcW w:type="dxa" w:w="2154"/>
            <w:vAlign w:val="center"/>
          </w:tcPr>
          <w:p>
            <w:pPr>
              <w:pStyle w:val="TableText"/>
              <w:keepNext/>
              <w:jc w:val="center"/>
            </w:pPr>
            <w:r>
              <w:rPr>
                <w:sz w:val="22"/>
              </w:rPr>
              <w:t>125–500 кГц</w:t>
            </w:r>
          </w:p>
        </w:tc>
        <w:tc>
          <w:tcPr>
            <w:tcW w:type="dxa" w:w="2494"/>
            <w:vAlign w:val="center"/>
          </w:tcPr>
          <w:p>
            <w:pPr>
              <w:pStyle w:val="TableText"/>
              <w:keepNext/>
              <w:jc w:val="center"/>
            </w:pPr>
            <w:r>
              <w:rPr>
                <w:sz w:val="22"/>
              </w:rPr>
              <w:t>1, 2 МГц (стандартом до 16 МГц)</w:t>
            </w:r>
          </w:p>
        </w:tc>
        <w:tc>
          <w:tcPr>
            <w:tcW w:type="dxa" w:w="2324"/>
            <w:vAlign w:val="center"/>
          </w:tcPr>
          <w:p>
            <w:pPr>
              <w:pStyle w:val="TableText"/>
              <w:keepNext/>
              <w:jc w:val="center"/>
            </w:pPr>
            <w:r>
              <w:rPr>
                <w:sz w:val="22"/>
              </w:rPr>
              <w:t>20, 40 МГц</w:t>
            </w:r>
          </w:p>
        </w:tc>
      </w:tr>
      <w:tr>
        <w:trPr>
          <w:cantSplit/>
        </w:trPr>
        <w:tc>
          <w:tcPr>
            <w:tcW w:type="dxa" w:w="2381"/>
            <w:vAlign w:val="center"/>
          </w:tcPr>
          <w:p>
            <w:pPr>
              <w:pStyle w:val="TableText"/>
              <w:keepNext/>
              <w:jc w:val="left"/>
            </w:pPr>
            <w:r>
              <w:rPr>
                <w:sz w:val="22"/>
              </w:rPr>
              <w:t>Скорость физического уровня</w:t>
            </w:r>
          </w:p>
        </w:tc>
        <w:tc>
          <w:tcPr>
            <w:tcW w:type="dxa" w:w="2154"/>
            <w:vAlign w:val="center"/>
          </w:tcPr>
          <w:p>
            <w:pPr>
              <w:pStyle w:val="TableText"/>
              <w:keepNext/>
              <w:jc w:val="center"/>
            </w:pPr>
            <w:r>
              <w:rPr>
                <w:sz w:val="22"/>
              </w:rPr>
              <w:t>0,29–5,5 кбит/с (125 кГц), до 37,5 кбит/с</w:t>
            </w:r>
          </w:p>
        </w:tc>
        <w:tc>
          <w:tcPr>
            <w:tcW w:type="dxa" w:w="2494"/>
            <w:vAlign w:val="center"/>
          </w:tcPr>
          <w:p>
            <w:pPr>
              <w:pStyle w:val="TableText"/>
              <w:keepNext/>
              <w:jc w:val="center"/>
            </w:pPr>
            <w:r>
              <w:rPr>
                <w:sz w:val="22"/>
              </w:rPr>
              <w:t>0,15–7,8 Мбит/с в каналах 1–2 МГц; у модуля TX-AH в канале 2 МГц — до 6,5 Мбит/с (MCS 7)</w:t>
            </w:r>
          </w:p>
        </w:tc>
        <w:tc>
          <w:tcPr>
            <w:tcW w:type="dxa" w:w="2324"/>
            <w:vAlign w:val="center"/>
          </w:tcPr>
          <w:p>
            <w:pPr>
              <w:pStyle w:val="TableText"/>
              <w:keepNext/>
              <w:jc w:val="center"/>
            </w:pPr>
            <w:r>
              <w:rPr>
                <w:sz w:val="22"/>
              </w:rPr>
              <w:t>6,5–150 Мбит/с; ESP32-S3: 20–30 Мбит/с в эфире</w:t>
            </w:r>
          </w:p>
        </w:tc>
      </w:tr>
      <w:tr>
        <w:trPr>
          <w:cantSplit/>
        </w:trPr>
        <w:tc>
          <w:tcPr>
            <w:tcW w:type="dxa" w:w="2381"/>
            <w:vAlign w:val="center"/>
          </w:tcPr>
          <w:p>
            <w:pPr>
              <w:pStyle w:val="TableText"/>
              <w:keepNext/>
              <w:jc w:val="left"/>
            </w:pPr>
            <w:r>
              <w:rPr>
                <w:sz w:val="22"/>
              </w:rPr>
              <w:t>Чувствительность</w:t>
            </w:r>
          </w:p>
        </w:tc>
        <w:tc>
          <w:tcPr>
            <w:tcW w:type="dxa" w:w="2154"/>
            <w:vAlign w:val="center"/>
          </w:tcPr>
          <w:p>
            <w:pPr>
              <w:pStyle w:val="TableText"/>
              <w:keepNext/>
              <w:jc w:val="center"/>
            </w:pPr>
            <w:r>
              <w:rPr>
                <w:sz w:val="22"/>
              </w:rPr>
              <w:t>−123…−137 дБм</w:t>
            </w:r>
          </w:p>
        </w:tc>
        <w:tc>
          <w:tcPr>
            <w:tcW w:type="dxa" w:w="2494"/>
            <w:vAlign w:val="center"/>
          </w:tcPr>
          <w:p>
            <w:pPr>
              <w:pStyle w:val="TableText"/>
              <w:keepNext/>
              <w:jc w:val="center"/>
            </w:pPr>
            <w:r>
              <w:rPr>
                <w:sz w:val="22"/>
              </w:rPr>
              <w:t>−105 дБм (1 МГц, MCS 10); ≈ −101…−87 дБм (2 МГц, оценка)</w:t>
            </w:r>
          </w:p>
        </w:tc>
        <w:tc>
          <w:tcPr>
            <w:tcW w:type="dxa" w:w="2324"/>
            <w:vAlign w:val="center"/>
          </w:tcPr>
          <w:p>
            <w:pPr>
              <w:pStyle w:val="TableText"/>
              <w:keepNext/>
              <w:jc w:val="center"/>
            </w:pPr>
            <w:r>
              <w:rPr>
                <w:sz w:val="22"/>
              </w:rPr>
              <w:t>−98,4…−74,2 дБм (ESP32-S3)</w:t>
            </w:r>
          </w:p>
        </w:tc>
      </w:tr>
      <w:tr>
        <w:trPr>
          <w:cantSplit/>
        </w:trPr>
        <w:tc>
          <w:tcPr>
            <w:tcW w:type="dxa" w:w="2381"/>
            <w:vAlign w:val="center"/>
          </w:tcPr>
          <w:p>
            <w:pPr>
              <w:pStyle w:val="TableText"/>
              <w:keepNext/>
              <w:jc w:val="left"/>
            </w:pPr>
            <w:r>
              <w:rPr>
                <w:sz w:val="22"/>
              </w:rPr>
              <w:t>Потери на 1 км в свободном пространстве</w:t>
            </w:r>
          </w:p>
        </w:tc>
        <w:tc>
          <w:tcPr>
            <w:tcW w:type="dxa" w:w="2154"/>
            <w:vAlign w:val="center"/>
          </w:tcPr>
          <w:p>
            <w:pPr>
              <w:pStyle w:val="TableText"/>
              <w:keepNext/>
              <w:jc w:val="center"/>
            </w:pPr>
            <w:r>
              <w:rPr>
                <w:sz w:val="22"/>
              </w:rPr>
              <w:t>91,2 дБ</w:t>
            </w:r>
          </w:p>
        </w:tc>
        <w:tc>
          <w:tcPr>
            <w:tcW w:type="dxa" w:w="2494"/>
            <w:vAlign w:val="center"/>
          </w:tcPr>
          <w:p>
            <w:pPr>
              <w:pStyle w:val="TableText"/>
              <w:keepNext/>
              <w:jc w:val="center"/>
            </w:pPr>
            <w:r>
              <w:rPr>
                <w:sz w:val="22"/>
              </w:rPr>
              <w:t>91,2 дБ</w:t>
            </w:r>
          </w:p>
        </w:tc>
        <w:tc>
          <w:tcPr>
            <w:tcW w:type="dxa" w:w="2324"/>
            <w:vAlign w:val="center"/>
          </w:tcPr>
          <w:p>
            <w:pPr>
              <w:pStyle w:val="TableText"/>
              <w:keepNext/>
              <w:jc w:val="center"/>
            </w:pPr>
            <w:r>
              <w:rPr>
                <w:sz w:val="22"/>
              </w:rPr>
              <w:t>100,2 дБ</w:t>
            </w:r>
          </w:p>
        </w:tc>
      </w:tr>
      <w:tr>
        <w:trPr>
          <w:cantSplit/>
        </w:trPr>
        <w:tc>
          <w:tcPr>
            <w:tcW w:type="dxa" w:w="2381"/>
            <w:vAlign w:val="center"/>
          </w:tcPr>
          <w:p>
            <w:pPr>
              <w:pStyle w:val="TableText"/>
              <w:keepNext/>
              <w:jc w:val="left"/>
            </w:pPr>
            <w:r>
              <w:rPr>
                <w:sz w:val="22"/>
              </w:rPr>
              <w:t>Тепловой шум в канале</w:t>
            </w:r>
          </w:p>
        </w:tc>
        <w:tc>
          <w:tcPr>
            <w:tcW w:type="dxa" w:w="2154"/>
            <w:vAlign w:val="center"/>
          </w:tcPr>
          <w:p>
            <w:pPr>
              <w:pStyle w:val="TableText"/>
              <w:keepNext/>
              <w:jc w:val="center"/>
            </w:pPr>
            <w:r>
              <w:rPr>
                <w:sz w:val="22"/>
              </w:rPr>
              <w:t>−123,0…−117,0 дБм</w:t>
            </w:r>
          </w:p>
        </w:tc>
        <w:tc>
          <w:tcPr>
            <w:tcW w:type="dxa" w:w="2494"/>
            <w:vAlign w:val="center"/>
          </w:tcPr>
          <w:p>
            <w:pPr>
              <w:pStyle w:val="TableText"/>
              <w:keepNext/>
              <w:jc w:val="center"/>
            </w:pPr>
            <w:r>
              <w:rPr>
                <w:sz w:val="22"/>
              </w:rPr>
              <w:t>−114,0…−111,0 дБм</w:t>
            </w:r>
          </w:p>
        </w:tc>
        <w:tc>
          <w:tcPr>
            <w:tcW w:type="dxa" w:w="2324"/>
            <w:vAlign w:val="center"/>
          </w:tcPr>
          <w:p>
            <w:pPr>
              <w:pStyle w:val="TableText"/>
              <w:keepNext/>
              <w:jc w:val="center"/>
            </w:pPr>
            <w:r>
              <w:rPr>
                <w:sz w:val="22"/>
              </w:rPr>
              <w:t>−101,0…−98,0 дБм</w:t>
            </w:r>
          </w:p>
        </w:tc>
      </w:tr>
      <w:tr>
        <w:trPr>
          <w:cantSplit/>
        </w:trPr>
        <w:tc>
          <w:tcPr>
            <w:tcW w:type="dxa" w:w="2381"/>
            <w:vAlign w:val="center"/>
          </w:tcPr>
          <w:p>
            <w:pPr>
              <w:pStyle w:val="TableText"/>
              <w:keepNext/>
              <w:jc w:val="left"/>
            </w:pPr>
            <w:r>
              <w:rPr>
                <w:sz w:val="22"/>
              </w:rPr>
              <w:t>Потери в бетонной стене</w:t>
            </w:r>
          </w:p>
        </w:tc>
        <w:tc>
          <w:tcPr>
            <w:tcW w:type="dxa" w:w="2154"/>
            <w:vAlign w:val="center"/>
          </w:tcPr>
          <w:p>
            <w:pPr>
              <w:pStyle w:val="TableText"/>
              <w:keepNext/>
              <w:jc w:val="center"/>
            </w:pPr>
            <w:r>
              <w:rPr>
                <w:sz w:val="22"/>
              </w:rPr>
              <w:t>8,5 дБ</w:t>
            </w:r>
          </w:p>
        </w:tc>
        <w:tc>
          <w:tcPr>
            <w:tcW w:type="dxa" w:w="2494"/>
            <w:vAlign w:val="center"/>
          </w:tcPr>
          <w:p>
            <w:pPr>
              <w:pStyle w:val="TableText"/>
              <w:keepNext/>
              <w:jc w:val="center"/>
            </w:pPr>
            <w:r>
              <w:rPr>
                <w:sz w:val="22"/>
              </w:rPr>
              <w:t>8,5 дБ</w:t>
            </w:r>
          </w:p>
        </w:tc>
        <w:tc>
          <w:tcPr>
            <w:tcW w:type="dxa" w:w="2324"/>
            <w:vAlign w:val="center"/>
          </w:tcPr>
          <w:p>
            <w:pPr>
              <w:pStyle w:val="TableText"/>
              <w:keepNext/>
              <w:jc w:val="center"/>
            </w:pPr>
            <w:r>
              <w:rPr>
                <w:sz w:val="22"/>
              </w:rPr>
              <w:t>14,8 дБ</w:t>
            </w:r>
          </w:p>
        </w:tc>
      </w:tr>
      <w:tr>
        <w:trPr>
          <w:cantSplit/>
        </w:trPr>
        <w:tc>
          <w:tcPr>
            <w:tcW w:type="dxa" w:w="2381"/>
            <w:vAlign w:val="center"/>
          </w:tcPr>
          <w:p>
            <w:pPr>
              <w:pStyle w:val="TableText"/>
              <w:keepNext/>
              <w:jc w:val="left"/>
            </w:pPr>
            <w:r>
              <w:rPr>
                <w:sz w:val="22"/>
              </w:rPr>
              <w:t>Потребление при передаче / приёме</w:t>
            </w:r>
          </w:p>
        </w:tc>
        <w:tc>
          <w:tcPr>
            <w:tcW w:type="dxa" w:w="2154"/>
            <w:vAlign w:val="center"/>
          </w:tcPr>
          <w:p>
            <w:pPr>
              <w:pStyle w:val="TableText"/>
              <w:keepNext/>
              <w:jc w:val="center"/>
            </w:pPr>
            <w:r>
              <w:rPr>
                <w:sz w:val="22"/>
              </w:rPr>
              <w:t>66–396 мВт (RFM95)</w:t>
            </w:r>
          </w:p>
        </w:tc>
        <w:tc>
          <w:tcPr>
            <w:tcW w:type="dxa" w:w="2494"/>
            <w:vAlign w:val="center"/>
          </w:tcPr>
          <w:p>
            <w:pPr>
              <w:pStyle w:val="TableText"/>
              <w:keepNext/>
              <w:jc w:val="center"/>
            </w:pPr>
            <w:r>
              <w:rPr>
                <w:sz w:val="22"/>
              </w:rPr>
              <w:t>300 / 55–100 мА (TX-AH)</w:t>
            </w:r>
          </w:p>
        </w:tc>
        <w:tc>
          <w:tcPr>
            <w:tcW w:type="dxa" w:w="2324"/>
            <w:vAlign w:val="center"/>
          </w:tcPr>
          <w:p>
            <w:pPr>
              <w:pStyle w:val="TableText"/>
              <w:keepNext/>
              <w:jc w:val="center"/>
            </w:pPr>
            <w:r>
              <w:rPr>
                <w:sz w:val="22"/>
              </w:rPr>
              <w:t>283–340 / 88–91 мА (ESP32-S3)</w:t>
            </w:r>
          </w:p>
        </w:tc>
      </w:tr>
      <w:tr>
        <w:trPr>
          <w:cantSplit/>
        </w:trPr>
        <w:tc>
          <w:tcPr>
            <w:tcW w:type="dxa" w:w="2381"/>
            <w:vAlign w:val="center"/>
          </w:tcPr>
          <w:p>
            <w:pPr>
              <w:pStyle w:val="TableText"/>
              <w:keepNext/>
              <w:jc w:val="left"/>
            </w:pPr>
            <w:r>
              <w:rPr>
                <w:sz w:val="22"/>
              </w:rPr>
              <w:t>Передача IP</w:t>
            </w:r>
          </w:p>
        </w:tc>
        <w:tc>
          <w:tcPr>
            <w:tcW w:type="dxa" w:w="2154"/>
            <w:vAlign w:val="center"/>
          </w:tcPr>
          <w:p>
            <w:pPr>
              <w:pStyle w:val="TableText"/>
              <w:keepNext/>
              <w:jc w:val="center"/>
            </w:pPr>
            <w:r>
              <w:rPr>
                <w:sz w:val="22"/>
              </w:rPr>
              <w:t>через шлюз</w:t>
            </w:r>
          </w:p>
        </w:tc>
        <w:tc>
          <w:tcPr>
            <w:tcW w:type="dxa" w:w="2494"/>
            <w:vAlign w:val="center"/>
          </w:tcPr>
          <w:p>
            <w:pPr>
              <w:pStyle w:val="TableText"/>
              <w:keepNext/>
              <w:jc w:val="center"/>
            </w:pPr>
            <w:r>
              <w:rPr>
                <w:sz w:val="22"/>
              </w:rPr>
              <w:t>да</w:t>
            </w:r>
          </w:p>
        </w:tc>
        <w:tc>
          <w:tcPr>
            <w:tcW w:type="dxa" w:w="2324"/>
            <w:vAlign w:val="center"/>
          </w:tcPr>
          <w:p>
            <w:pPr>
              <w:pStyle w:val="TableText"/>
              <w:keepNext/>
              <w:jc w:val="center"/>
            </w:pPr>
            <w:r>
              <w:rPr>
                <w:sz w:val="22"/>
              </w:rPr>
              <w:t>да</w:t>
            </w:r>
          </w:p>
        </w:tc>
      </w:tr>
      <w:tr>
        <w:trPr>
          <w:cantSplit/>
        </w:trPr>
        <w:tc>
          <w:tcPr>
            <w:tcW w:type="dxa" w:w="2381"/>
            <w:vAlign w:val="center"/>
          </w:tcPr>
          <w:p>
            <w:pPr>
              <w:pStyle w:val="TableText"/>
              <w:jc w:val="left"/>
            </w:pPr>
            <w:r>
              <w:rPr>
                <w:sz w:val="22"/>
              </w:rPr>
              <w:t>Видео</w:t>
            </w:r>
          </w:p>
        </w:tc>
        <w:tc>
          <w:tcPr>
            <w:tcW w:type="dxa" w:w="2154"/>
            <w:vAlign w:val="center"/>
          </w:tcPr>
          <w:p>
            <w:pPr>
              <w:pStyle w:val="TableText"/>
              <w:jc w:val="center"/>
            </w:pPr>
            <w:r>
              <w:rPr>
                <w:sz w:val="22"/>
              </w:rPr>
              <w:t>нет</w:t>
            </w:r>
          </w:p>
        </w:tc>
        <w:tc>
          <w:tcPr>
            <w:tcW w:type="dxa" w:w="2494"/>
            <w:vAlign w:val="center"/>
          </w:tcPr>
          <w:p>
            <w:pPr>
              <w:pStyle w:val="TableText"/>
              <w:jc w:val="center"/>
            </w:pPr>
            <w:r>
              <w:rPr>
                <w:sz w:val="22"/>
              </w:rPr>
              <w:t>да</w:t>
            </w:r>
          </w:p>
        </w:tc>
        <w:tc>
          <w:tcPr>
            <w:tcW w:type="dxa" w:w="2324"/>
            <w:vAlign w:val="center"/>
          </w:tcPr>
          <w:p>
            <w:pPr>
              <w:pStyle w:val="TableText"/>
              <w:jc w:val="center"/>
            </w:pPr>
            <w:r>
              <w:rPr>
                <w:sz w:val="22"/>
              </w:rPr>
              <w:t>да</w:t>
            </w:r>
          </w:p>
        </w:tc>
      </w:tr>
    </w:tbl>
    <w:p>
      <w:pPr>
        <w:spacing w:line="240" w:lineRule="auto"/>
      </w:pPr>
    </w:p>
    <w:p>
      <w:pPr>
        <w:pStyle w:val="Heading2"/>
      </w:pPr>
      <w:r>
        <w:t>1.4 Круг задач, решаемых с применением Wi-Fi HaLow</w:t>
      </w:r>
    </w:p>
    <w:p>
      <w:r>
        <w:t>Сравнение (таблица 1.1) определяет круг задач, для которых Wi-Fi HaLow является подходящим каналом:</w:t>
      </w:r>
    </w:p>
    <w:p>
      <w:r>
        <w:t xml:space="preserve">– </w:t>
      </w:r>
      <w:r>
        <w:t>передача видео для ситуационной осведомлённости оператора на расстояниях от сотен метров до единиц километров, в том числе вне прямой видимости (на плате этой работы камера повышает фон эфира над тепловым шумом, что сокращает расчётную дальность, — подраздел 3.6); на платформе этой работы получено 1063 кбит/с полезного видео 480 × 320 точек при 5 кадр/с (глава 3);</w:t>
      </w:r>
    </w:p>
    <w:p>
      <w:r>
        <w:t xml:space="preserve">– </w:t>
      </w:r>
      <w:r>
        <w:t>объединение видео, телеметрии и команд в одном IP-канале вместо двух-трёх отдельных радиолиний;</w:t>
      </w:r>
    </w:p>
    <w:p>
      <w:r>
        <w:t xml:space="preserve">– </w:t>
      </w:r>
      <w:r>
        <w:t>сеть из нескольких удалённых объектов с одним наземным пунктом: одна точка доступа IEEE 802.11ah обслуживает до 8191 станции [16].</w:t>
      </w:r>
    </w:p>
    <w:p>
      <w:r>
        <w:t>Вне круга задач остаются передача видео высокой чёткости с малой задержкой, требующая десятков мегабит в секунду, и связь на десятки километров, достижимая только со специальными направленными антеннами. Ограничения мощности (25 мВт) и ширины канала (не более 2 МГц) в полосе 866–868 МГц дополнительно сужают достижимые дальность и скорость по сравнению с возможностями стандарта. Скорость ограничивает и сама платформа: на плате LilyGO T-HaLow радиомодуль связан с процессором только последовательным интерфейсом UART, без интерфейса SPI, и полезная скорость через него не может превысить 3,92 Мбит/с (подраздел 3.3) — меньше 6,5 Мбит/с, на которые способен канал 2 МГц. Для более высоких скоростей радиомодуль следует подключать к процессору по интерфейсу SPI или SDIO.</w:t>
      </w:r>
    </w:p>
    <w:p>
      <w:pPr>
        <w:pStyle w:val="Heading2"/>
      </w:pPr>
      <w:r>
        <w:t>1.5 Выводы</w:t>
      </w:r>
    </w:p>
    <w:p>
      <w:r>
        <w:t>1. Для задач, где БПЛА является удалённым источником видео, существующие каналы разделились на два полюса: LoRa даёт дальность без скорости, Wi-Fi 2,4/5 ГГц — скорость без дальности. Канала в свободном диапазоне, сочетающего оба свойства, среди распространённых решений нет.</w:t>
      </w:r>
    </w:p>
    <w:p>
      <w:r>
        <w:t>2. Wi-Fi HaLow сочетает оба свойства на малых скоростях и за препятствиями: по паспортным чувствительностям при нормах мощности Российской Федерации его запас по затуханию на наименьшей скорости на 5,6 дБ больше, чем у Wi-Fi 2,4 ГГц (дальность в свободном пространстве по расчёту в 1,9 раза больше), а на наибольшей скорости канала 2 МГц — 6,5 Мбит/с физического уровня — дальности обеих технологий сопоставимы; бетонная стена ослабляет сигнал 867 МГц на 6,3 дБ меньше, чем 2,4 ГГц. Видео пониженного разрешения требует около 1 Мбит/с полезной скорости, а канал 2 МГц даёт её с запасом уже на средних схемах модуляции; 6,5 Мбит/с — предел физического уровня стандарта для этого канала, а не скорость, полученная на стенде.</w:t>
      </w:r>
    </w:p>
    <w:p>
      <w:r>
        <w:t>3. Для выбранной технологии в главе 2 выполняется теоретическая оценка характеристик и обосновывается необходимость их экспериментальной проверки.</w:t>
      </w:r>
    </w:p>
    <w:p>
      <w:pPr>
        <w:pStyle w:val="Heading1"/>
        <w:pageBreakBefore/>
      </w:pPr>
      <w:r>
        <w:t>2 Обоснование экспериментального исследования, методика экспериментов, выбор и настройка средств</w:t>
      </w:r>
    </w:p>
    <w:p>
      <w:r>
        <w:t>В главе выполнена теоретическая оценка характеристик канала Wi-Fi HaLow, обоснована необходимость их экспериментальной проверки, разработаны программа и методика экспериментов, выбраны и настроены аппаратные и программные средства.</w:t>
      </w:r>
    </w:p>
    <w:p>
      <w:pPr>
        <w:pStyle w:val="Heading2"/>
      </w:pPr>
      <w:r>
        <w:t>2.1 Теоретическая оценка характеристик канала Wi-Fi HaLow</w:t>
      </w:r>
    </w:p>
    <w:p>
      <w:r>
        <w:rPr>
          <w:b/>
        </w:rPr>
        <w:t xml:space="preserve">Потери на трассе. </w:t>
      </w:r>
      <w:r>
        <w:t>Для свободного пространства мощность на входе приёмника определяется формулой Фрииса [14]: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sSub>
                <m:e>
                  <m:r>
                    <w:rPr>
                      <w:rFonts w:ascii="Cambria Math" w:hAnsi="Cambria Math"/>
                    </w:rPr>
                    <m:t xml:space="preserve">P</m:t>
                  </m:r>
                </m:e>
                <m:sub>
                  <m:r>
                    <m:rPr>
                      <m:sty m:val="p"/>
                    </m:rPr>
                    <w:rPr>
                      <w:rFonts w:ascii="Cambria Math" w:hAnsi="Cambria Math"/>
                    </w:rPr>
                    <m:t xml:space="preserve">r</m:t>
                  </m:r>
                </m:sub>
              </m:sSub>
              <m:r>
                <m:rPr>
                  <m:sty m:val="p"/>
                </m:rPr>
                <w:rPr>
                  <w:rFonts w:ascii="Cambria Math" w:hAnsi="Cambria Math"/>
                </w:rPr>
                <m:t xml:space="preserve"> = </m:t>
              </m:r>
              <m:sSub>
                <m:e>
                  <m:r>
                    <w:rPr>
                      <w:rFonts w:ascii="Cambria Math" w:hAnsi="Cambria Math"/>
                    </w:rPr>
                    <m:t xml:space="preserve">P</m:t>
                  </m:r>
                </m:e>
                <m:sub>
                  <m:r>
                    <m:rPr>
                      <m:sty m:val="p"/>
                    </m:rPr>
                    <w:rPr>
                      <w:rFonts w:ascii="Cambria Math" w:hAnsi="Cambria Math"/>
                    </w:rPr>
                    <m:t xml:space="preserve">t</m:t>
                  </m:r>
                </m:sub>
              </m:sSub>
              <m:sSub>
                <m:e>
                  <m:r>
                    <w:rPr>
                      <w:rFonts w:ascii="Cambria Math" w:hAnsi="Cambria Math"/>
                    </w:rPr>
                    <m:t xml:space="preserve">G</m:t>
                  </m:r>
                </m:e>
                <m:sub>
                  <m:r>
                    <m:rPr>
                      <m:sty m:val="p"/>
                    </m:rPr>
                    <w:rPr>
                      <w:rFonts w:ascii="Cambria Math" w:hAnsi="Cambria Math"/>
                    </w:rPr>
                    <m:t xml:space="preserve">t</m:t>
                  </m:r>
                </m:sub>
              </m:sSub>
              <m:sSub>
                <m:e>
                  <m:r>
                    <w:rPr>
                      <w:rFonts w:ascii="Cambria Math" w:hAnsi="Cambria Math"/>
                    </w:rPr>
                    <m:t xml:space="preserve">G</m:t>
                  </m:r>
                </m:e>
                <m:sub>
                  <m:r>
                    <m:rPr>
                      <m:sty m:val="p"/>
                    </m:rPr>
                    <w:rPr>
                      <w:rFonts w:ascii="Cambria Math" w:hAnsi="Cambria Math"/>
                    </w:rPr>
                    <m:t xml:space="preserve">r</m:t>
                  </m:r>
                </m:sub>
              </m:sSub>
              <m:sSup>
                <m:e>
                  <m:d>
                    <m:e>
                      <m:f>
                        <m:num>
                          <m:r>
                            <w:rPr>
                              <w:rFonts w:ascii="Cambria Math" w:hAnsi="Cambria Math"/>
                            </w:rPr>
                            <m:t xml:space="preserve">λ</m:t>
                          </m:r>
                        </m:num>
                        <m:den>
                          <m:r>
                            <m:rPr>
                              <m:sty m:val="p"/>
                            </m:rPr>
                            <w:rPr>
                              <w:rFonts w:ascii="Cambria Math" w:hAnsi="Cambria Math"/>
                            </w:rPr>
                            <m:t xml:space="preserve">4π</m:t>
                          </m:r>
                          <m:r>
                            <w:rPr>
                              <w:rFonts w:ascii="Cambria Math" w:hAnsi="Cambria Math"/>
                            </w:rPr>
                            <m:t xml:space="preserve">d</m:t>
                          </m:r>
                        </m:den>
                      </m:f>
                    </m:e>
                  </m:d>
                </m:e>
                <m:sup>
                  <m:r>
                    <m:rPr>
                      <m:sty m:val="p"/>
                    </m:rPr>
                    <w:rPr>
                      <w:rFonts w:ascii="Cambria Math" w:hAnsi="Cambria Math"/>
                    </w:rPr>
                    <m:t xml:space="preserve">2</m:t>
                  </m:r>
                </m:sup>
              </m:sSup>
              <m:r>
                <m:rPr>
                  <m:sty m:val="p"/>
                </m:rPr>
                <w:rPr>
                  <w:rFonts w:ascii="Cambria Math" w:hAnsi="Cambria Math"/>
                </w:rPr>
                <m:t xml:space="preserve">,</m:t>
              </m:r>
            </m:oMath>
          </w:p>
        </w:tc>
        <w:tc>
          <w:tcPr>
            <w:tcW w:type="dxa" w:w="1020"/>
            <w:vAlign w:val="center"/>
          </w:tcPr>
          <w:p>
            <w:pPr>
              <w:pStyle w:val="Formula"/>
              <w:jc w:val="right"/>
            </w:pPr>
            <w:r>
              <w:t>(2.1)</w:t>
            </w:r>
          </w:p>
        </w:tc>
      </w:tr>
    </w:tbl>
    <w:p>
      <w:pPr>
        <w:ind w:firstLine="0"/>
      </w:pPr>
      <w:r>
        <w:t xml:space="preserve">где </w:t>
      </w:r>
      <w:r>
        <w:t>Pᵣ, Pₜ — принимаемая и излучаемая мощности; Gₜ, Gᵣ — коэффициенты усиления антенн; λ — длина волны (0,346 м на частоте 867 МГц); d — расстояние.</w:t>
      </w:r>
    </w:p>
    <w:p>
      <w:r>
        <w:t>В реальной среде потери растут быстрее. Логарифмическая модель описывает их через показатель затухания n и случайную составляющую затенения [6]:</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r>
                <w:rPr>
                  <w:rFonts w:ascii="Cambria Math" w:hAnsi="Cambria Math"/>
                </w:rPr>
                <m:t xml:space="preserve">L</m:t>
              </m:r>
              <m:d>
                <m:e>
                  <m:r>
                    <w:rPr>
                      <w:rFonts w:ascii="Cambria Math" w:hAnsi="Cambria Math"/>
                    </w:rPr>
                    <m:t xml:space="preserve">d</m:t>
                  </m:r>
                </m:e>
              </m:d>
              <m:r>
                <m:rPr>
                  <m:sty m:val="p"/>
                </m:rPr>
                <w:rPr>
                  <w:rFonts w:ascii="Cambria Math" w:hAnsi="Cambria Math"/>
                </w:rPr>
                <m:t xml:space="preserve"> = </m:t>
              </m:r>
              <m:r>
                <w:rPr>
                  <w:rFonts w:ascii="Cambria Math" w:hAnsi="Cambria Math"/>
                </w:rPr>
                <m:t xml:space="preserve">L</m:t>
              </m:r>
              <m:d>
                <m:e>
                  <m:sSub>
                    <m:e>
                      <m:r>
                        <w:rPr>
                          <w:rFonts w:ascii="Cambria Math" w:hAnsi="Cambria Math"/>
                        </w:rPr>
                        <m:t xml:space="preserve">d</m:t>
                      </m:r>
                    </m:e>
                    <m:sub>
                      <m:r>
                        <m:rPr>
                          <m:sty m:val="p"/>
                        </m:rPr>
                        <w:rPr>
                          <w:rFonts w:ascii="Cambria Math" w:hAnsi="Cambria Math"/>
                        </w:rPr>
                        <m:t xml:space="preserve">0</m:t>
                      </m:r>
                    </m:sub>
                  </m:sSub>
                </m:e>
              </m:d>
              <m:r>
                <m:rPr>
                  <m:sty m:val="p"/>
                </m:rPr>
                <w:rPr>
                  <w:rFonts w:ascii="Cambria Math" w:hAnsi="Cambria Math"/>
                </w:rPr>
                <m:t xml:space="preserve"> + 10</m:t>
              </m:r>
              <m:r>
                <w:rPr>
                  <w:rFonts w:ascii="Cambria Math" w:hAnsi="Cambria Math"/>
                </w:rPr>
                <m:t xml:space="preserve">n</m:t>
              </m:r>
              <m:r>
                <m:rPr>
                  <m:sty m:val="p"/>
                </m:rPr>
                <w:rPr>
                  <w:rFonts w:ascii="Cambria Math" w:hAnsi="Cambria Math"/>
                </w:rPr>
                <m:t xml:space="preserve"> lg </m:t>
              </m:r>
              <m:f>
                <m:num>
                  <m:r>
                    <w:rPr>
                      <w:rFonts w:ascii="Cambria Math" w:hAnsi="Cambria Math"/>
                    </w:rPr>
                    <m:t xml:space="preserve">d</m:t>
                  </m:r>
                </m:num>
                <m:den>
                  <m:sSub>
                    <m:e>
                      <m:r>
                        <w:rPr>
                          <w:rFonts w:ascii="Cambria Math" w:hAnsi="Cambria Math"/>
                        </w:rPr>
                        <m:t xml:space="preserve">d</m:t>
                      </m:r>
                    </m:e>
                    <m:sub>
                      <m:r>
                        <m:rPr>
                          <m:sty m:val="p"/>
                        </m:rPr>
                        <w:rPr>
                          <w:rFonts w:ascii="Cambria Math" w:hAnsi="Cambria Math"/>
                        </w:rPr>
                        <m:t xml:space="preserve">0</m:t>
                      </m:r>
                    </m:sub>
                  </m:sSub>
                </m:den>
              </m:f>
              <m:r>
                <m:rPr>
                  <m:sty m:val="p"/>
                </m:rPr>
                <w:rPr>
                  <w:rFonts w:ascii="Cambria Math" w:hAnsi="Cambria Math"/>
                </w:rPr>
                <m:t xml:space="preserve"> + </m:t>
              </m:r>
              <m:sSub>
                <m:e>
                  <m:r>
                    <w:rPr>
                      <w:rFonts w:ascii="Cambria Math" w:hAnsi="Cambria Math"/>
                    </w:rPr>
                    <m:t xml:space="preserve">X</m:t>
                  </m:r>
                </m:e>
                <m:sub>
                  <m:r>
                    <m:rPr>
                      <m:sty m:val="p"/>
                    </m:rPr>
                    <w:rPr>
                      <w:rFonts w:ascii="Cambria Math" w:hAnsi="Cambria Math"/>
                    </w:rPr>
                    <m:t xml:space="preserve">σ</m:t>
                  </m:r>
                </m:sub>
              </m:sSub>
              <m:r>
                <m:rPr>
                  <m:sty m:val="p"/>
                </m:rPr>
                <w:rPr>
                  <w:rFonts w:ascii="Cambria Math" w:hAnsi="Cambria Math"/>
                </w:rPr>
                <m:t xml:space="preserve">,</m:t>
              </m:r>
            </m:oMath>
          </w:p>
        </w:tc>
        <w:tc>
          <w:tcPr>
            <w:tcW w:type="dxa" w:w="1020"/>
            <w:vAlign w:val="center"/>
          </w:tcPr>
          <w:p>
            <w:pPr>
              <w:pStyle w:val="Formula"/>
              <w:jc w:val="right"/>
            </w:pPr>
            <w:r>
              <w:t>(2.2)</w:t>
            </w:r>
          </w:p>
        </w:tc>
      </w:tr>
    </w:tbl>
    <w:p>
      <w:pPr>
        <w:ind w:firstLine="0"/>
      </w:pPr>
      <w:r>
        <w:t xml:space="preserve">где </w:t>
      </w:r>
      <w:r>
        <w:t>d₀ — опорное расстояние; n — показатель затухания (2 — свободное пространство, 2,7–3,5 — городская застройка, до 5 — за препятствиями); Xσ — нормально распределённая величина с нулевым средним и среднеквадратичным отклонением σ, дБ.</w:t>
      </w:r>
    </w:p>
    <w:p>
      <w:r>
        <w:t>Для типовых сред модели каналов дают диапазоны этих величин: n = 2 в свободном пространстве, 2,7–3,5 в городской застройке, 3–5 на затенённых городских трассах [6]; отклонение σ в моделях 3GPP составляет от 3 до 8 дБ в зависимости от сценария и наличия прямой видимости [18]. Расчёт по краям этих диапазонов даёт дальность, различающуюся в разы, и ответа для конкретной платформы не даёт: какое значение ей соответствует, устанавливается измерением (раздел 2.2).</w:t>
      </w:r>
    </w:p>
    <w:p>
      <w:r>
        <w:rPr>
          <w:b/>
        </w:rPr>
        <w:t xml:space="preserve">Отражение от земли. </w:t>
      </w:r>
      <w:r>
        <w:t>Над ровной поверхностью к прямому лучу добавляется отражённый от земли. С удалением он приходит почти в противофазе и всё сильнее гасит прямой, поэтому по двухлучевой модели [6] начиная с расстояния (точки излома)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sSub>
                <m:e>
                  <m:r>
                    <w:rPr>
                      <w:rFonts w:ascii="Cambria Math" w:hAnsi="Cambria Math"/>
                    </w:rPr>
                    <m:t xml:space="preserve">d</m:t>
                  </m:r>
                </m:e>
                <m:sub>
                  <m:r>
                    <m:rPr>
                      <m:sty m:val="p"/>
                    </m:rPr>
                    <w:rPr>
                      <w:rFonts w:ascii="Cambria Math" w:hAnsi="Cambria Math"/>
                    </w:rPr>
                    <m:t xml:space="preserve">изл</m:t>
                  </m:r>
                </m:sub>
              </m:sSub>
              <m:r>
                <m:rPr>
                  <m:sty m:val="p"/>
                </m:rPr>
                <w:rPr>
                  <w:rFonts w:ascii="Cambria Math" w:hAnsi="Cambria Math"/>
                </w:rPr>
                <m:t xml:space="preserve"> = </m:t>
              </m:r>
              <m:f>
                <m:num>
                  <m:r>
                    <m:rPr>
                      <m:sty m:val="p"/>
                    </m:rPr>
                    <w:rPr>
                      <w:rFonts w:ascii="Cambria Math" w:hAnsi="Cambria Math"/>
                    </w:rPr>
                    <m:t xml:space="preserve">4</m:t>
                  </m:r>
                  <m:sSub>
                    <m:e>
                      <m:r>
                        <w:rPr>
                          <w:rFonts w:ascii="Cambria Math" w:hAnsi="Cambria Math"/>
                        </w:rPr>
                        <m:t xml:space="preserve">h</m:t>
                      </m:r>
                    </m:e>
                    <m:sub>
                      <m:r>
                        <m:rPr>
                          <m:sty m:val="p"/>
                        </m:rPr>
                        <w:rPr>
                          <w:rFonts w:ascii="Cambria Math" w:hAnsi="Cambria Math"/>
                        </w:rPr>
                        <m:t xml:space="preserve">1</m:t>
                      </m:r>
                    </m:sub>
                  </m:sSub>
                  <m:sSub>
                    <m:e>
                      <m:r>
                        <w:rPr>
                          <w:rFonts w:ascii="Cambria Math" w:hAnsi="Cambria Math"/>
                        </w:rPr>
                        <m:t xml:space="preserve">h</m:t>
                      </m:r>
                    </m:e>
                    <m:sub>
                      <m:r>
                        <m:rPr>
                          <m:sty m:val="p"/>
                        </m:rPr>
                        <w:rPr>
                          <w:rFonts w:ascii="Cambria Math" w:hAnsi="Cambria Math"/>
                        </w:rPr>
                        <m:t xml:space="preserve">2</m:t>
                      </m:r>
                    </m:sub>
                  </m:sSub>
                </m:num>
                <m:den>
                  <m:r>
                    <w:rPr>
                      <w:rFonts w:ascii="Cambria Math" w:hAnsi="Cambria Math"/>
                    </w:rPr>
                    <m:t xml:space="preserve">λ</m:t>
                  </m:r>
                </m:den>
              </m:f>
              <m:r>
                <m:rPr>
                  <m:sty m:val="p"/>
                </m:rPr>
                <w:rPr>
                  <w:rFonts w:ascii="Cambria Math" w:hAnsi="Cambria Math"/>
                </w:rPr>
                <m:t xml:space="preserve">,</m:t>
              </m:r>
            </m:oMath>
          </w:p>
        </w:tc>
        <w:tc>
          <w:tcPr>
            <w:tcW w:type="dxa" w:w="1020"/>
            <w:vAlign w:val="center"/>
          </w:tcPr>
          <w:p>
            <w:pPr>
              <w:pStyle w:val="Formula"/>
              <w:jc w:val="right"/>
            </w:pPr>
            <w:r>
              <w:t>(2.3)</w:t>
            </w:r>
          </w:p>
        </w:tc>
      </w:tr>
    </w:tbl>
    <w:p>
      <w:pPr>
        <w:ind w:firstLine="0"/>
      </w:pPr>
      <w:r>
        <w:t>где h₁, h₂ — высоты антенн над землёй, потери растут уже не на 20, а на 40 дБ на декаду [6]. Для антенн на высоте 1,5 м излом наступает уже на 26 м, а если одна антенна поднята на борту БПЛА на 50 м — на 868 м, на 100 м — на 1735 м. Высоты взяты по сценарию применения: 1,5 м — антенна наземного пункта в руках оператора или на штативе, такую же высоту антенны абонента у земли принимают модели каналов 3GPP [24]; 50 и 100 м — рабочие высоты БПЛА: визуальные полёты беспилотников массой до 30 кг разрешены на высотах менее 150 м [25]. Поэтому испытания с антеннами у земли дают более пессимистичную картину, чем полёт, а для БПЛА вертолётного типа высота антенны на борту — управляемый параметр дальности.</w:t>
      </w:r>
    </w:p>
    <w:p>
      <w:r>
        <w:t xml:space="preserve">Кривые потерь для свободного пространства и двухлучевой модели в двухсегментном приближении (свободное пространство до точки излома, 40 дБ на декаду после неё) для наземных антенн и для антенны на борту БПЛА рассчитаны автором по приведённым формулам и показаны на рисунке </w:t>
      </w:r>
      <w:r>
        <w:t>2.1</w:t>
      </w:r>
      <w:r>
        <w:t>.</w:t>
      </w:r>
    </w:p>
    <w:p>
      <w:pPr>
        <w:keepNext/>
        <w:ind w:firstLine="0"/>
        <w:jc w:val="center"/>
      </w:pPr>
      <w:r>
        <w:drawing>
          <wp:inline xmlns:a="http://schemas.openxmlformats.org/drawingml/2006/main" xmlns:pic="http://schemas.openxmlformats.org/drawingml/2006/picture">
            <wp:extent cx="5760000" cy="3636062"/>
            <wp:docPr id="2" name="Picture 2"/>
            <wp:cNvGraphicFramePr>
              <a:graphicFrameLocks noChangeAspect="1"/>
            </wp:cNvGraphicFramePr>
            <a:graphic>
              <a:graphicData uri="http://schemas.openxmlformats.org/drawingml/2006/picture">
                <pic:pic>
                  <pic:nvPicPr>
                    <pic:cNvPr id="0" name="fig_pathloss.png"/>
                    <pic:cNvPicPr/>
                  </pic:nvPicPr>
                  <pic:blipFill>
                    <a:blip r:embed="rId11"/>
                    <a:stretch>
                      <a:fillRect/>
                    </a:stretch>
                  </pic:blipFill>
                  <pic:spPr>
                    <a:xfrm>
                      <a:off x="0" y="0"/>
                      <a:ext cx="5760000" cy="3636062"/>
                    </a:xfrm>
                    <a:prstGeom prst="rect"/>
                  </pic:spPr>
                </pic:pic>
              </a:graphicData>
            </a:graphic>
          </wp:inline>
        </w:drawing>
      </w:r>
    </w:p>
    <w:p>
      <w:pPr>
        <w:ind w:firstLine="0"/>
        <w:jc w:val="center"/>
      </w:pPr>
      <w:r>
        <w:t>Рисунок 2.1 – Теоретическая зависимость потерь на трассе от расстояния</w:t>
      </w:r>
    </w:p>
    <w:p>
      <w:r>
        <w:rPr>
          <w:b/>
        </w:rPr>
        <w:t xml:space="preserve">Шум и пропускная способность. </w:t>
      </w:r>
      <w:r>
        <w:t>Мощность шума в полосе приёмника определяется формулой (1.2). Верхнюю границу скорости при отношении сигнал/шум S/N задаёт формула Шеннона [26]:</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r>
                <w:rPr>
                  <w:rFonts w:ascii="Cambria Math" w:hAnsi="Cambria Math"/>
                </w:rPr>
                <m:t xml:space="preserve">C</m:t>
              </m:r>
              <m:r>
                <m:rPr>
                  <m:sty m:val="p"/>
                </m:rPr>
                <w:rPr>
                  <w:rFonts w:ascii="Cambria Math" w:hAnsi="Cambria Math"/>
                </w:rPr>
                <m:t xml:space="preserve"> = </m:t>
              </m:r>
              <m:r>
                <w:rPr>
                  <w:rFonts w:ascii="Cambria Math" w:hAnsi="Cambria Math"/>
                </w:rPr>
                <m:t xml:space="preserve">B</m:t>
              </m:r>
              <m:r>
                <m:rPr>
                  <m:sty m:val="p"/>
                </m:rPr>
                <w:rPr>
                  <w:rFonts w:ascii="Cambria Math" w:hAnsi="Cambria Math"/>
                </w:rPr>
                <m:t xml:space="preserve"> </m:t>
              </m:r>
              <m:sSub>
                <m:e>
                  <m:r>
                    <m:rPr>
                      <m:sty m:val="p"/>
                    </m:rPr>
                    <w:rPr>
                      <w:rFonts w:ascii="Cambria Math" w:hAnsi="Cambria Math"/>
                    </w:rPr>
                    <m:t xml:space="preserve">log</m:t>
                  </m:r>
                </m:e>
                <m:sub>
                  <m:r>
                    <m:rPr>
                      <m:sty m:val="p"/>
                    </m:rPr>
                    <w:rPr>
                      <w:rFonts w:ascii="Cambria Math" w:hAnsi="Cambria Math"/>
                    </w:rPr>
                    <m:t xml:space="preserve">2</m:t>
                  </m:r>
                </m:sub>
              </m:sSub>
              <m:d>
                <m:e>
                  <m:r>
                    <m:rPr>
                      <m:sty m:val="p"/>
                    </m:rPr>
                    <w:rPr>
                      <w:rFonts w:ascii="Cambria Math" w:hAnsi="Cambria Math"/>
                    </w:rPr>
                    <m:t xml:space="preserve">1 + </m:t>
                  </m:r>
                  <m:f>
                    <m:num>
                      <m:r>
                        <w:rPr>
                          <w:rFonts w:ascii="Cambria Math" w:hAnsi="Cambria Math"/>
                        </w:rPr>
                        <m:t xml:space="preserve">S</m:t>
                      </m:r>
                    </m:num>
                    <m:den>
                      <m:r>
                        <w:rPr>
                          <w:rFonts w:ascii="Cambria Math" w:hAnsi="Cambria Math"/>
                        </w:rPr>
                        <m:t xml:space="preserve">N</m:t>
                      </m:r>
                    </m:den>
                  </m:f>
                </m:e>
              </m:d>
              <m:r>
                <m:rPr>
                  <m:sty m:val="p"/>
                </m:rPr>
                <w:rPr>
                  <w:rFonts w:ascii="Cambria Math" w:hAnsi="Cambria Math"/>
                </w:rPr>
                <m:t xml:space="preserve">,</m:t>
              </m:r>
            </m:oMath>
          </w:p>
        </w:tc>
        <w:tc>
          <w:tcPr>
            <w:tcW w:type="dxa" w:w="1020"/>
            <w:vAlign w:val="center"/>
          </w:tcPr>
          <w:p>
            <w:pPr>
              <w:pStyle w:val="Formula"/>
              <w:jc w:val="right"/>
            </w:pPr>
            <w:r>
              <w:t>(2.4)</w:t>
            </w:r>
          </w:p>
        </w:tc>
      </w:tr>
    </w:tbl>
    <w:p>
      <w:pPr>
        <w:ind w:firstLine="0"/>
      </w:pPr>
      <w:r>
        <w:t xml:space="preserve">где </w:t>
      </w:r>
      <w:r>
        <w:t>C — пропускная способность канала, бит/с; B — полоса, Гц; S/N — отношение мощностей сигнала и шума.</w:t>
      </w:r>
    </w:p>
    <w:p>
      <w:r>
        <w:t xml:space="preserve">Реальные скорости Wi-Fi HaLow задаются схемами модуляции и кодирования (MCS) стандарта [7]. Для одного пространственного потока и длинного защитного интервала в каналах, помещающихся в полосу 866–868 МГц, они приведены в таблице </w:t>
      </w:r>
      <w:r>
        <w:t>2.1</w:t>
      </w:r>
      <w:r>
        <w:t>. Радиомодуль платформы в канале 2 МГц использует MCS 0–7, поэтому предел физического уровня для него — 6,5 Мбит/с.</w:t>
      </w:r>
    </w:p>
    <w:p>
      <w:pPr>
        <w:pStyle w:val="TableCaption"/>
        <w:ind w:firstLine="0"/>
      </w:pPr>
      <w:r>
        <w:t>Таблица 2.1 – Скорость физического уровня Wi-Fi HaLow, Мбит/с (один поток, длинный защитный интервал)</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1247"/>
        <w:gridCol w:w="3571"/>
        <w:gridCol w:w="2267"/>
        <w:gridCol w:w="2267"/>
      </w:tblGrid>
      <w:tr>
        <w:trPr>
          <w:cantSplit/>
          <w:tblHeader w:val="true"/>
        </w:trPr>
        <w:tc>
          <w:tcPr>
            <w:tcW w:type="dxa" w:w="1247"/>
            <w:vAlign w:val="center"/>
          </w:tcPr>
          <w:p>
            <w:pPr>
              <w:pStyle w:val="TableText"/>
              <w:keepNext/>
              <w:jc w:val="center"/>
            </w:pPr>
            <w:r>
              <w:rPr>
                <w:b/>
                <w:sz w:val="22"/>
              </w:rPr>
              <w:t>MCS</w:t>
            </w:r>
          </w:p>
        </w:tc>
        <w:tc>
          <w:tcPr>
            <w:tcW w:type="dxa" w:w="3572"/>
            <w:vAlign w:val="center"/>
          </w:tcPr>
          <w:p>
            <w:pPr>
              <w:pStyle w:val="TableText"/>
              <w:keepNext/>
              <w:jc w:val="center"/>
            </w:pPr>
            <w:r>
              <w:rPr>
                <w:b/>
                <w:sz w:val="22"/>
              </w:rPr>
              <w:t>Модуляция и скорость кода</w:t>
            </w:r>
          </w:p>
        </w:tc>
        <w:tc>
          <w:tcPr>
            <w:tcW w:type="dxa" w:w="2268"/>
            <w:vAlign w:val="center"/>
          </w:tcPr>
          <w:p>
            <w:pPr>
              <w:pStyle w:val="TableText"/>
              <w:keepNext/>
              <w:jc w:val="center"/>
            </w:pPr>
            <w:r>
              <w:rPr>
                <w:b/>
                <w:sz w:val="22"/>
              </w:rPr>
              <w:t>Канал 1 МГц</w:t>
            </w:r>
          </w:p>
        </w:tc>
        <w:tc>
          <w:tcPr>
            <w:tcW w:type="dxa" w:w="2268"/>
            <w:vAlign w:val="center"/>
          </w:tcPr>
          <w:p>
            <w:pPr>
              <w:pStyle w:val="TableText"/>
              <w:keepNext/>
              <w:jc w:val="center"/>
            </w:pPr>
            <w:r>
              <w:rPr>
                <w:b/>
                <w:sz w:val="22"/>
              </w:rPr>
              <w:t>Канал 2 МГц</w:t>
            </w:r>
          </w:p>
        </w:tc>
      </w:tr>
      <w:tr>
        <w:trPr>
          <w:cantSplit/>
        </w:trPr>
        <w:tc>
          <w:tcPr>
            <w:tcW w:type="dxa" w:w="1247"/>
            <w:vAlign w:val="center"/>
          </w:tcPr>
          <w:p>
            <w:pPr>
              <w:pStyle w:val="TableText"/>
              <w:keepNext/>
              <w:jc w:val="center"/>
            </w:pPr>
            <w:r>
              <w:rPr>
                <w:sz w:val="22"/>
              </w:rPr>
              <w:t>0</w:t>
            </w:r>
          </w:p>
        </w:tc>
        <w:tc>
          <w:tcPr>
            <w:tcW w:type="dxa" w:w="3572"/>
            <w:vAlign w:val="center"/>
          </w:tcPr>
          <w:p>
            <w:pPr>
              <w:pStyle w:val="TableText"/>
              <w:keepNext/>
              <w:jc w:val="left"/>
            </w:pPr>
            <w:r>
              <w:rPr>
                <w:sz w:val="22"/>
              </w:rPr>
              <w:t>BPSK 1/2</w:t>
            </w:r>
          </w:p>
        </w:tc>
        <w:tc>
          <w:tcPr>
            <w:tcW w:type="dxa" w:w="2268"/>
            <w:vAlign w:val="center"/>
          </w:tcPr>
          <w:p>
            <w:pPr>
              <w:pStyle w:val="TableText"/>
              <w:keepNext/>
              <w:jc w:val="center"/>
            </w:pPr>
            <w:r>
              <w:rPr>
                <w:sz w:val="22"/>
              </w:rPr>
              <w:t>0,3</w:t>
            </w:r>
          </w:p>
        </w:tc>
        <w:tc>
          <w:tcPr>
            <w:tcW w:type="dxa" w:w="2268"/>
            <w:vAlign w:val="center"/>
          </w:tcPr>
          <w:p>
            <w:pPr>
              <w:pStyle w:val="TableText"/>
              <w:keepNext/>
              <w:jc w:val="center"/>
            </w:pPr>
            <w:r>
              <w:rPr>
                <w:sz w:val="22"/>
              </w:rPr>
              <w:t>0,65</w:t>
            </w:r>
          </w:p>
        </w:tc>
      </w:tr>
      <w:tr>
        <w:trPr>
          <w:cantSplit/>
        </w:trPr>
        <w:tc>
          <w:tcPr>
            <w:tcW w:type="dxa" w:w="1247"/>
            <w:vAlign w:val="center"/>
          </w:tcPr>
          <w:p>
            <w:pPr>
              <w:pStyle w:val="TableText"/>
              <w:keepNext/>
              <w:jc w:val="center"/>
            </w:pPr>
            <w:r>
              <w:rPr>
                <w:sz w:val="22"/>
              </w:rPr>
              <w:t>1</w:t>
            </w:r>
          </w:p>
        </w:tc>
        <w:tc>
          <w:tcPr>
            <w:tcW w:type="dxa" w:w="3572"/>
            <w:vAlign w:val="center"/>
          </w:tcPr>
          <w:p>
            <w:pPr>
              <w:pStyle w:val="TableText"/>
              <w:keepNext/>
              <w:jc w:val="left"/>
            </w:pPr>
            <w:r>
              <w:rPr>
                <w:sz w:val="22"/>
              </w:rPr>
              <w:t>QPSK 1/2</w:t>
            </w:r>
          </w:p>
        </w:tc>
        <w:tc>
          <w:tcPr>
            <w:tcW w:type="dxa" w:w="2268"/>
            <w:vAlign w:val="center"/>
          </w:tcPr>
          <w:p>
            <w:pPr>
              <w:pStyle w:val="TableText"/>
              <w:keepNext/>
              <w:jc w:val="center"/>
            </w:pPr>
            <w:r>
              <w:rPr>
                <w:sz w:val="22"/>
              </w:rPr>
              <w:t>0,6</w:t>
            </w:r>
          </w:p>
        </w:tc>
        <w:tc>
          <w:tcPr>
            <w:tcW w:type="dxa" w:w="2268"/>
            <w:vAlign w:val="center"/>
          </w:tcPr>
          <w:p>
            <w:pPr>
              <w:pStyle w:val="TableText"/>
              <w:keepNext/>
              <w:jc w:val="center"/>
            </w:pPr>
            <w:r>
              <w:rPr>
                <w:sz w:val="22"/>
              </w:rPr>
              <w:t>1,3</w:t>
            </w:r>
          </w:p>
        </w:tc>
      </w:tr>
      <w:tr>
        <w:trPr>
          <w:cantSplit/>
        </w:trPr>
        <w:tc>
          <w:tcPr>
            <w:tcW w:type="dxa" w:w="1247"/>
            <w:vAlign w:val="center"/>
          </w:tcPr>
          <w:p>
            <w:pPr>
              <w:pStyle w:val="TableText"/>
              <w:keepNext/>
              <w:jc w:val="center"/>
            </w:pPr>
            <w:r>
              <w:rPr>
                <w:sz w:val="22"/>
              </w:rPr>
              <w:t>2</w:t>
            </w:r>
          </w:p>
        </w:tc>
        <w:tc>
          <w:tcPr>
            <w:tcW w:type="dxa" w:w="3572"/>
            <w:vAlign w:val="center"/>
          </w:tcPr>
          <w:p>
            <w:pPr>
              <w:pStyle w:val="TableText"/>
              <w:keepNext/>
              <w:jc w:val="left"/>
            </w:pPr>
            <w:r>
              <w:rPr>
                <w:sz w:val="22"/>
              </w:rPr>
              <w:t>QPSK 3/4</w:t>
            </w:r>
          </w:p>
        </w:tc>
        <w:tc>
          <w:tcPr>
            <w:tcW w:type="dxa" w:w="2268"/>
            <w:vAlign w:val="center"/>
          </w:tcPr>
          <w:p>
            <w:pPr>
              <w:pStyle w:val="TableText"/>
              <w:keepNext/>
              <w:jc w:val="center"/>
            </w:pPr>
            <w:r>
              <w:rPr>
                <w:sz w:val="22"/>
              </w:rPr>
              <w:t>0,9</w:t>
            </w:r>
          </w:p>
        </w:tc>
        <w:tc>
          <w:tcPr>
            <w:tcW w:type="dxa" w:w="2268"/>
            <w:vAlign w:val="center"/>
          </w:tcPr>
          <w:p>
            <w:pPr>
              <w:pStyle w:val="TableText"/>
              <w:keepNext/>
              <w:jc w:val="center"/>
            </w:pPr>
            <w:r>
              <w:rPr>
                <w:sz w:val="22"/>
              </w:rPr>
              <w:t>1,95</w:t>
            </w:r>
          </w:p>
        </w:tc>
      </w:tr>
      <w:tr>
        <w:trPr>
          <w:cantSplit/>
        </w:trPr>
        <w:tc>
          <w:tcPr>
            <w:tcW w:type="dxa" w:w="1247"/>
            <w:vAlign w:val="center"/>
          </w:tcPr>
          <w:p>
            <w:pPr>
              <w:pStyle w:val="TableText"/>
              <w:keepNext/>
              <w:jc w:val="center"/>
            </w:pPr>
            <w:r>
              <w:rPr>
                <w:sz w:val="22"/>
              </w:rPr>
              <w:t>3</w:t>
            </w:r>
          </w:p>
        </w:tc>
        <w:tc>
          <w:tcPr>
            <w:tcW w:type="dxa" w:w="3572"/>
            <w:vAlign w:val="center"/>
          </w:tcPr>
          <w:p>
            <w:pPr>
              <w:pStyle w:val="TableText"/>
              <w:keepNext/>
              <w:jc w:val="left"/>
            </w:pPr>
            <w:r>
              <w:rPr>
                <w:sz w:val="22"/>
              </w:rPr>
              <w:t>16-QAM 1/2</w:t>
            </w:r>
          </w:p>
        </w:tc>
        <w:tc>
          <w:tcPr>
            <w:tcW w:type="dxa" w:w="2268"/>
            <w:vAlign w:val="center"/>
          </w:tcPr>
          <w:p>
            <w:pPr>
              <w:pStyle w:val="TableText"/>
              <w:keepNext/>
              <w:jc w:val="center"/>
            </w:pPr>
            <w:r>
              <w:rPr>
                <w:sz w:val="22"/>
              </w:rPr>
              <w:t>1,2</w:t>
            </w:r>
          </w:p>
        </w:tc>
        <w:tc>
          <w:tcPr>
            <w:tcW w:type="dxa" w:w="2268"/>
            <w:vAlign w:val="center"/>
          </w:tcPr>
          <w:p>
            <w:pPr>
              <w:pStyle w:val="TableText"/>
              <w:keepNext/>
              <w:jc w:val="center"/>
            </w:pPr>
            <w:r>
              <w:rPr>
                <w:sz w:val="22"/>
              </w:rPr>
              <w:t>2,6</w:t>
            </w:r>
          </w:p>
        </w:tc>
      </w:tr>
      <w:tr>
        <w:trPr>
          <w:cantSplit/>
        </w:trPr>
        <w:tc>
          <w:tcPr>
            <w:tcW w:type="dxa" w:w="1247"/>
            <w:vAlign w:val="center"/>
          </w:tcPr>
          <w:p>
            <w:pPr>
              <w:pStyle w:val="TableText"/>
              <w:keepNext/>
              <w:jc w:val="center"/>
            </w:pPr>
            <w:r>
              <w:rPr>
                <w:sz w:val="22"/>
              </w:rPr>
              <w:t>4</w:t>
            </w:r>
          </w:p>
        </w:tc>
        <w:tc>
          <w:tcPr>
            <w:tcW w:type="dxa" w:w="3572"/>
            <w:vAlign w:val="center"/>
          </w:tcPr>
          <w:p>
            <w:pPr>
              <w:pStyle w:val="TableText"/>
              <w:keepNext/>
              <w:jc w:val="left"/>
            </w:pPr>
            <w:r>
              <w:rPr>
                <w:sz w:val="22"/>
              </w:rPr>
              <w:t>16-QAM 3/4</w:t>
            </w:r>
          </w:p>
        </w:tc>
        <w:tc>
          <w:tcPr>
            <w:tcW w:type="dxa" w:w="2268"/>
            <w:vAlign w:val="center"/>
          </w:tcPr>
          <w:p>
            <w:pPr>
              <w:pStyle w:val="TableText"/>
              <w:keepNext/>
              <w:jc w:val="center"/>
            </w:pPr>
            <w:r>
              <w:rPr>
                <w:sz w:val="22"/>
              </w:rPr>
              <w:t>1,8</w:t>
            </w:r>
          </w:p>
        </w:tc>
        <w:tc>
          <w:tcPr>
            <w:tcW w:type="dxa" w:w="2268"/>
            <w:vAlign w:val="center"/>
          </w:tcPr>
          <w:p>
            <w:pPr>
              <w:pStyle w:val="TableText"/>
              <w:keepNext/>
              <w:jc w:val="center"/>
            </w:pPr>
            <w:r>
              <w:rPr>
                <w:sz w:val="22"/>
              </w:rPr>
              <w:t>3,9</w:t>
            </w:r>
          </w:p>
        </w:tc>
      </w:tr>
      <w:tr>
        <w:trPr>
          <w:cantSplit/>
        </w:trPr>
        <w:tc>
          <w:tcPr>
            <w:tcW w:type="dxa" w:w="1247"/>
            <w:vAlign w:val="center"/>
          </w:tcPr>
          <w:p>
            <w:pPr>
              <w:pStyle w:val="TableText"/>
              <w:keepNext/>
              <w:jc w:val="center"/>
            </w:pPr>
            <w:r>
              <w:rPr>
                <w:sz w:val="22"/>
              </w:rPr>
              <w:t>5</w:t>
            </w:r>
          </w:p>
        </w:tc>
        <w:tc>
          <w:tcPr>
            <w:tcW w:type="dxa" w:w="3572"/>
            <w:vAlign w:val="center"/>
          </w:tcPr>
          <w:p>
            <w:pPr>
              <w:pStyle w:val="TableText"/>
              <w:keepNext/>
              <w:jc w:val="left"/>
            </w:pPr>
            <w:r>
              <w:rPr>
                <w:sz w:val="22"/>
              </w:rPr>
              <w:t>64-QAM 2/3</w:t>
            </w:r>
          </w:p>
        </w:tc>
        <w:tc>
          <w:tcPr>
            <w:tcW w:type="dxa" w:w="2268"/>
            <w:vAlign w:val="center"/>
          </w:tcPr>
          <w:p>
            <w:pPr>
              <w:pStyle w:val="TableText"/>
              <w:keepNext/>
              <w:jc w:val="center"/>
            </w:pPr>
            <w:r>
              <w:rPr>
                <w:sz w:val="22"/>
              </w:rPr>
              <w:t>2,4</w:t>
            </w:r>
          </w:p>
        </w:tc>
        <w:tc>
          <w:tcPr>
            <w:tcW w:type="dxa" w:w="2268"/>
            <w:vAlign w:val="center"/>
          </w:tcPr>
          <w:p>
            <w:pPr>
              <w:pStyle w:val="TableText"/>
              <w:keepNext/>
              <w:jc w:val="center"/>
            </w:pPr>
            <w:r>
              <w:rPr>
                <w:sz w:val="22"/>
              </w:rPr>
              <w:t>5,2</w:t>
            </w:r>
          </w:p>
        </w:tc>
      </w:tr>
      <w:tr>
        <w:trPr>
          <w:cantSplit/>
        </w:trPr>
        <w:tc>
          <w:tcPr>
            <w:tcW w:type="dxa" w:w="1247"/>
            <w:vAlign w:val="center"/>
          </w:tcPr>
          <w:p>
            <w:pPr>
              <w:pStyle w:val="TableText"/>
              <w:keepNext/>
              <w:jc w:val="center"/>
            </w:pPr>
            <w:r>
              <w:rPr>
                <w:sz w:val="22"/>
              </w:rPr>
              <w:t>6</w:t>
            </w:r>
          </w:p>
        </w:tc>
        <w:tc>
          <w:tcPr>
            <w:tcW w:type="dxa" w:w="3572"/>
            <w:vAlign w:val="center"/>
          </w:tcPr>
          <w:p>
            <w:pPr>
              <w:pStyle w:val="TableText"/>
              <w:keepNext/>
              <w:jc w:val="left"/>
            </w:pPr>
            <w:r>
              <w:rPr>
                <w:sz w:val="22"/>
              </w:rPr>
              <w:t>64-QAM 3/4</w:t>
            </w:r>
          </w:p>
        </w:tc>
        <w:tc>
          <w:tcPr>
            <w:tcW w:type="dxa" w:w="2268"/>
            <w:vAlign w:val="center"/>
          </w:tcPr>
          <w:p>
            <w:pPr>
              <w:pStyle w:val="TableText"/>
              <w:keepNext/>
              <w:jc w:val="center"/>
            </w:pPr>
            <w:r>
              <w:rPr>
                <w:sz w:val="22"/>
              </w:rPr>
              <w:t>2,7</w:t>
            </w:r>
          </w:p>
        </w:tc>
        <w:tc>
          <w:tcPr>
            <w:tcW w:type="dxa" w:w="2268"/>
            <w:vAlign w:val="center"/>
          </w:tcPr>
          <w:p>
            <w:pPr>
              <w:pStyle w:val="TableText"/>
              <w:keepNext/>
              <w:jc w:val="center"/>
            </w:pPr>
            <w:r>
              <w:rPr>
                <w:sz w:val="22"/>
              </w:rPr>
              <w:t>5,85</w:t>
            </w:r>
          </w:p>
        </w:tc>
      </w:tr>
      <w:tr>
        <w:trPr>
          <w:cantSplit/>
        </w:trPr>
        <w:tc>
          <w:tcPr>
            <w:tcW w:type="dxa" w:w="1247"/>
            <w:vAlign w:val="center"/>
          </w:tcPr>
          <w:p>
            <w:pPr>
              <w:pStyle w:val="TableText"/>
              <w:keepNext/>
              <w:jc w:val="center"/>
            </w:pPr>
            <w:r>
              <w:rPr>
                <w:sz w:val="22"/>
              </w:rPr>
              <w:t>7</w:t>
            </w:r>
          </w:p>
        </w:tc>
        <w:tc>
          <w:tcPr>
            <w:tcW w:type="dxa" w:w="3572"/>
            <w:vAlign w:val="center"/>
          </w:tcPr>
          <w:p>
            <w:pPr>
              <w:pStyle w:val="TableText"/>
              <w:keepNext/>
              <w:jc w:val="left"/>
            </w:pPr>
            <w:r>
              <w:rPr>
                <w:sz w:val="22"/>
              </w:rPr>
              <w:t>64-QAM 5/6</w:t>
            </w:r>
          </w:p>
        </w:tc>
        <w:tc>
          <w:tcPr>
            <w:tcW w:type="dxa" w:w="2268"/>
            <w:vAlign w:val="center"/>
          </w:tcPr>
          <w:p>
            <w:pPr>
              <w:pStyle w:val="TableText"/>
              <w:keepNext/>
              <w:jc w:val="center"/>
            </w:pPr>
            <w:r>
              <w:rPr>
                <w:sz w:val="22"/>
              </w:rPr>
              <w:t>3,0</w:t>
            </w:r>
          </w:p>
        </w:tc>
        <w:tc>
          <w:tcPr>
            <w:tcW w:type="dxa" w:w="2268"/>
            <w:vAlign w:val="center"/>
          </w:tcPr>
          <w:p>
            <w:pPr>
              <w:pStyle w:val="TableText"/>
              <w:keepNext/>
              <w:jc w:val="center"/>
            </w:pPr>
            <w:r>
              <w:rPr>
                <w:sz w:val="22"/>
              </w:rPr>
              <w:t>6,5</w:t>
            </w:r>
          </w:p>
        </w:tc>
      </w:tr>
      <w:tr>
        <w:trPr>
          <w:cantSplit/>
        </w:trPr>
        <w:tc>
          <w:tcPr>
            <w:tcW w:type="dxa" w:w="1247"/>
            <w:vAlign w:val="center"/>
          </w:tcPr>
          <w:p>
            <w:pPr>
              <w:pStyle w:val="TableText"/>
              <w:keepNext/>
              <w:jc w:val="center"/>
            </w:pPr>
            <w:r>
              <w:rPr>
                <w:sz w:val="22"/>
              </w:rPr>
              <w:t>8</w:t>
            </w:r>
          </w:p>
        </w:tc>
        <w:tc>
          <w:tcPr>
            <w:tcW w:type="dxa" w:w="3572"/>
            <w:vAlign w:val="center"/>
          </w:tcPr>
          <w:p>
            <w:pPr>
              <w:pStyle w:val="TableText"/>
              <w:keepNext/>
              <w:jc w:val="left"/>
            </w:pPr>
            <w:r>
              <w:rPr>
                <w:sz w:val="22"/>
              </w:rPr>
              <w:t>256-QAM 3/4</w:t>
            </w:r>
          </w:p>
        </w:tc>
        <w:tc>
          <w:tcPr>
            <w:tcW w:type="dxa" w:w="2268"/>
            <w:vAlign w:val="center"/>
          </w:tcPr>
          <w:p>
            <w:pPr>
              <w:pStyle w:val="TableText"/>
              <w:keepNext/>
              <w:jc w:val="center"/>
            </w:pPr>
            <w:r>
              <w:rPr>
                <w:sz w:val="22"/>
              </w:rPr>
              <w:t>3,6</w:t>
            </w:r>
          </w:p>
        </w:tc>
        <w:tc>
          <w:tcPr>
            <w:tcW w:type="dxa" w:w="2268"/>
            <w:vAlign w:val="center"/>
          </w:tcPr>
          <w:p>
            <w:pPr>
              <w:pStyle w:val="TableText"/>
              <w:keepNext/>
              <w:jc w:val="center"/>
            </w:pPr>
            <w:r>
              <w:rPr>
                <w:sz w:val="22"/>
              </w:rPr>
              <w:t>7,8</w:t>
            </w:r>
          </w:p>
        </w:tc>
      </w:tr>
      <w:tr>
        <w:trPr>
          <w:cantSplit/>
        </w:trPr>
        <w:tc>
          <w:tcPr>
            <w:tcW w:type="dxa" w:w="1247"/>
            <w:vAlign w:val="center"/>
          </w:tcPr>
          <w:p>
            <w:pPr>
              <w:pStyle w:val="TableText"/>
              <w:keepNext/>
              <w:jc w:val="center"/>
            </w:pPr>
            <w:r>
              <w:rPr>
                <w:sz w:val="22"/>
              </w:rPr>
              <w:t>9</w:t>
            </w:r>
          </w:p>
        </w:tc>
        <w:tc>
          <w:tcPr>
            <w:tcW w:type="dxa" w:w="3572"/>
            <w:vAlign w:val="center"/>
          </w:tcPr>
          <w:p>
            <w:pPr>
              <w:pStyle w:val="TableText"/>
              <w:keepNext/>
              <w:jc w:val="left"/>
            </w:pPr>
            <w:r>
              <w:rPr>
                <w:sz w:val="22"/>
              </w:rPr>
              <w:t>256-QAM 5/6</w:t>
            </w:r>
          </w:p>
        </w:tc>
        <w:tc>
          <w:tcPr>
            <w:tcW w:type="dxa" w:w="2268"/>
            <w:vAlign w:val="center"/>
          </w:tcPr>
          <w:p>
            <w:pPr>
              <w:pStyle w:val="TableText"/>
              <w:keepNext/>
              <w:jc w:val="center"/>
            </w:pPr>
            <w:r>
              <w:rPr>
                <w:sz w:val="22"/>
              </w:rPr>
              <w:t>4,0</w:t>
            </w:r>
          </w:p>
        </w:tc>
        <w:tc>
          <w:tcPr>
            <w:tcW w:type="dxa" w:w="2268"/>
            <w:vAlign w:val="center"/>
          </w:tcPr>
          <w:p>
            <w:pPr>
              <w:pStyle w:val="TableText"/>
              <w:keepNext/>
              <w:jc w:val="center"/>
            </w:pPr>
            <w:r>
              <w:rPr>
                <w:sz w:val="22"/>
              </w:rPr>
              <w:t>—</w:t>
            </w:r>
          </w:p>
        </w:tc>
      </w:tr>
      <w:tr>
        <w:trPr>
          <w:cantSplit/>
        </w:trPr>
        <w:tc>
          <w:tcPr>
            <w:tcW w:type="dxa" w:w="1247"/>
            <w:vAlign w:val="center"/>
          </w:tcPr>
          <w:p>
            <w:pPr>
              <w:pStyle w:val="TableText"/>
              <w:jc w:val="center"/>
            </w:pPr>
            <w:r>
              <w:rPr>
                <w:sz w:val="22"/>
              </w:rPr>
              <w:t>10</w:t>
            </w:r>
          </w:p>
        </w:tc>
        <w:tc>
          <w:tcPr>
            <w:tcW w:type="dxa" w:w="3572"/>
            <w:vAlign w:val="center"/>
          </w:tcPr>
          <w:p>
            <w:pPr>
              <w:pStyle w:val="TableText"/>
              <w:jc w:val="left"/>
            </w:pPr>
            <w:r>
              <w:rPr>
                <w:sz w:val="22"/>
              </w:rPr>
              <w:t>BPSK 1/2 с повтором</w:t>
            </w:r>
          </w:p>
        </w:tc>
        <w:tc>
          <w:tcPr>
            <w:tcW w:type="dxa" w:w="2268"/>
            <w:vAlign w:val="center"/>
          </w:tcPr>
          <w:p>
            <w:pPr>
              <w:pStyle w:val="TableText"/>
              <w:jc w:val="center"/>
            </w:pPr>
            <w:r>
              <w:rPr>
                <w:sz w:val="22"/>
              </w:rPr>
              <w:t>0,15</w:t>
            </w:r>
          </w:p>
        </w:tc>
        <w:tc>
          <w:tcPr>
            <w:tcW w:type="dxa" w:w="2268"/>
            <w:vAlign w:val="center"/>
          </w:tcPr>
          <w:p>
            <w:pPr>
              <w:pStyle w:val="TableText"/>
              <w:jc w:val="center"/>
            </w:pPr>
            <w:r>
              <w:rPr>
                <w:sz w:val="22"/>
              </w:rPr>
              <w:t>—</w:t>
            </w:r>
          </w:p>
        </w:tc>
      </w:tr>
    </w:tbl>
    <w:p>
      <w:pPr>
        <w:spacing w:line="240" w:lineRule="auto"/>
      </w:pPr>
    </w:p>
    <w:p>
      <w:r>
        <w:t>Полезная скорость ниже номинальной: часть времени занимают преамбулы, служебные поля, межкадровые интервалы и подтверждения. Для оценок в работе принято, что полезная скорость составляет 50–70 % номинальной; это допущение проверяется экспериментально.</w:t>
      </w:r>
    </w:p>
    <w:p>
      <w:r>
        <w:rPr>
          <w:b/>
        </w:rPr>
        <w:t xml:space="preserve">Доплеровский сдвиг. </w:t>
      </w:r>
      <w:r>
        <w:t>При движении БПЛА со скоростью v частота принимаемого сигнала смещается на [6]</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sSub>
                <m:e>
                  <m:r>
                    <w:rPr>
                      <w:rFonts w:ascii="Cambria Math" w:hAnsi="Cambria Math"/>
                    </w:rPr>
                    <m:t xml:space="preserve">f</m:t>
                  </m:r>
                </m:e>
                <m:sub>
                  <m:r>
                    <m:rPr>
                      <m:sty m:val="p"/>
                    </m:rPr>
                    <w:rPr>
                      <w:rFonts w:ascii="Cambria Math" w:hAnsi="Cambria Math"/>
                    </w:rPr>
                    <m:t xml:space="preserve">д</m:t>
                  </m:r>
                </m:sub>
              </m:sSub>
              <m:r>
                <m:rPr>
                  <m:sty m:val="p"/>
                </m:rPr>
                <w:rPr>
                  <w:rFonts w:ascii="Cambria Math" w:hAnsi="Cambria Math"/>
                </w:rPr>
                <m:t xml:space="preserve"> = </m:t>
              </m:r>
              <m:f>
                <m:num>
                  <m:r>
                    <w:rPr>
                      <w:rFonts w:ascii="Cambria Math" w:hAnsi="Cambria Math"/>
                    </w:rPr>
                    <m:t xml:space="preserve">v</m:t>
                  </m:r>
                </m:num>
                <m:den>
                  <m:r>
                    <w:rPr>
                      <w:rFonts w:ascii="Cambria Math" w:hAnsi="Cambria Math"/>
                    </w:rPr>
                    <m:t xml:space="preserve">λ</m:t>
                  </m:r>
                </m:den>
              </m:f>
              <m:r>
                <m:rPr>
                  <m:sty m:val="p"/>
                </m:rPr>
                <w:rPr>
                  <w:rFonts w:ascii="Cambria Math" w:hAnsi="Cambria Math"/>
                </w:rPr>
                <m:t xml:space="preserve">·cos θ,</m:t>
              </m:r>
            </m:oMath>
          </w:p>
        </w:tc>
        <w:tc>
          <w:tcPr>
            <w:tcW w:type="dxa" w:w="1020"/>
            <w:vAlign w:val="center"/>
          </w:tcPr>
          <w:p>
            <w:pPr>
              <w:pStyle w:val="Formula"/>
              <w:jc w:val="right"/>
            </w:pPr>
            <w:r>
              <w:t>(2.5)</w:t>
            </w:r>
          </w:p>
        </w:tc>
      </w:tr>
    </w:tbl>
    <w:p>
      <w:pPr>
        <w:ind w:firstLine="0"/>
      </w:pPr>
      <w:r>
        <w:t xml:space="preserve">где </w:t>
      </w:r>
      <w:r>
        <w:t>θ — угол между направлением движения БПЛА и направлением на приёмник. Наибольший сдвиг — при движении прямо к приёмнику или от него (cos θ = ±1).</w:t>
      </w:r>
    </w:p>
    <w:p>
      <w:pPr>
        <w:ind w:firstLine="0"/>
      </w:pPr>
      <w:r>
        <w:t>Для БПЛА вертолётного типа при скорости до 30 м/с сдвиг на частоте 867 МГц не превышает 87 Гц — около 0,3 % от расстояния между соседними поднесущими сигнала Wi-Fi HaLow. Этот сигнал (OFDM) состоит из множества узких поднесущих, которые по стандарту отстоят друг от друга на 31,25 кГц [7]. Приёмник OFDM компенсирует сдвиг частоты в каждом кадре: по известной стандарту обучающей последовательности в начале кадра он оценивает, насколько частота сигнала отличается от его собственной, и поворачивает фазу принятых отсчётов на эту величину, а остаток в течение кадра отслеживает по пилотным поднесущим [7]. Тот же механизм нужен и неподвижным узлам: кварцевые генераторы передатчика и приёмника расходятся на единицы–десятки миллионных долей, что на 867 МГц даёт сдвиг в килогерцы — во много раз больше доплеровского. Поэтому на работу канала доплеровский сдвиг практически не влияет и отдельного экспериментального исследования не требует.</w:t>
      </w:r>
    </w:p>
    <w:p>
      <w:pPr>
        <w:pStyle w:val="Heading2"/>
      </w:pPr>
      <w:r>
        <w:t>2.2 Обоснование необходимости экспериментального исследования</w:t>
      </w:r>
    </w:p>
    <w:p>
      <w:r>
        <w:t xml:space="preserve">Теоретическая оценка раздела 2.1 в работе выполняется и используется: по ней оценивается дальность, выбираются условия сопоставления с опубликованными натурными данными (высота антенн), относительно неё выражаются результаты. Заменить эксперимент она, однако, не может. Теория задаёт форму зависимостей, эксперимент даёт её параметры и проверяет допущения расчёта — что приёму мешает только тепловой шум, что при сильном сигнале передачи не теряются и что полезная скорость составляет 50–70 % номинальной. Необходимость эксперимента следует из шести обстоятельств, и каждое подтвердилось на испытаниях стенда (глава 3). Сводка расхождений приведена в таблице </w:t>
      </w:r>
      <w:r>
        <w:t>2.2</w:t>
      </w:r>
      <w:r>
        <w:t>.</w:t>
      </w:r>
    </w:p>
    <w:p>
      <w:pPr>
        <w:pStyle w:val="TableCaption"/>
        <w:ind w:firstLine="0"/>
      </w:pPr>
      <w:r>
        <w:t>Таблица 2.2 – Теоретическая оценка и результаты испытаний стенда</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2154"/>
        <w:gridCol w:w="2154"/>
        <w:gridCol w:w="2664"/>
        <w:gridCol w:w="2381"/>
      </w:tblGrid>
      <w:tr>
        <w:trPr>
          <w:cantSplit/>
          <w:tblHeader w:val="true"/>
        </w:trPr>
        <w:tc>
          <w:tcPr>
            <w:tcW w:type="dxa" w:w="2154"/>
            <w:vAlign w:val="center"/>
          </w:tcPr>
          <w:p>
            <w:pPr>
              <w:pStyle w:val="TableText"/>
              <w:keepNext/>
              <w:jc w:val="center"/>
            </w:pPr>
            <w:r>
              <w:rPr>
                <w:b/>
                <w:sz w:val="22"/>
              </w:rPr>
              <w:t>Показатель</w:t>
            </w:r>
          </w:p>
        </w:tc>
        <w:tc>
          <w:tcPr>
            <w:tcW w:type="dxa" w:w="2154"/>
            <w:vAlign w:val="center"/>
          </w:tcPr>
          <w:p>
            <w:pPr>
              <w:pStyle w:val="TableText"/>
              <w:keepNext/>
              <w:jc w:val="center"/>
            </w:pPr>
            <w:r>
              <w:rPr>
                <w:b/>
                <w:sz w:val="22"/>
              </w:rPr>
              <w:t>Теоретическая оценка</w:t>
            </w:r>
          </w:p>
        </w:tc>
        <w:tc>
          <w:tcPr>
            <w:tcW w:type="dxa" w:w="2665"/>
            <w:vAlign w:val="center"/>
          </w:tcPr>
          <w:p>
            <w:pPr>
              <w:pStyle w:val="TableText"/>
              <w:keepNext/>
              <w:jc w:val="center"/>
            </w:pPr>
            <w:r>
              <w:rPr>
                <w:b/>
                <w:sz w:val="22"/>
              </w:rPr>
              <w:t>Стенд</w:t>
            </w:r>
          </w:p>
        </w:tc>
        <w:tc>
          <w:tcPr>
            <w:tcW w:type="dxa" w:w="2381"/>
            <w:vAlign w:val="center"/>
          </w:tcPr>
          <w:p>
            <w:pPr>
              <w:pStyle w:val="TableText"/>
              <w:keepNext/>
              <w:jc w:val="center"/>
            </w:pPr>
            <w:r>
              <w:rPr>
                <w:b/>
                <w:sz w:val="22"/>
              </w:rPr>
              <w:t>Причина расхождения</w:t>
            </w:r>
          </w:p>
        </w:tc>
      </w:tr>
      <w:tr>
        <w:trPr>
          <w:cantSplit/>
        </w:trPr>
        <w:tc>
          <w:tcPr>
            <w:tcW w:type="dxa" w:w="2154"/>
            <w:vAlign w:val="center"/>
          </w:tcPr>
          <w:p>
            <w:pPr>
              <w:pStyle w:val="TableText"/>
              <w:keepNext/>
              <w:jc w:val="left"/>
            </w:pPr>
            <w:r>
              <w:rPr>
                <w:sz w:val="22"/>
              </w:rPr>
              <w:t>Фон в канале 2 МГц</w:t>
            </w:r>
          </w:p>
        </w:tc>
        <w:tc>
          <w:tcPr>
            <w:tcW w:type="dxa" w:w="2154"/>
            <w:vAlign w:val="center"/>
          </w:tcPr>
          <w:p>
            <w:pPr>
              <w:pStyle w:val="TableText"/>
              <w:keepNext/>
              <w:jc w:val="left"/>
            </w:pPr>
            <w:r>
              <w:rPr>
                <w:sz w:val="22"/>
              </w:rPr>
              <w:t>−111 дБм плюс коэффициент шума приёмника (тепловой шум)</w:t>
            </w:r>
          </w:p>
        </w:tc>
        <w:tc>
          <w:tcPr>
            <w:tcW w:type="dxa" w:w="2665"/>
            <w:vAlign w:val="center"/>
          </w:tcPr>
          <w:p>
            <w:pPr>
              <w:pStyle w:val="TableText"/>
              <w:keepNext/>
              <w:jc w:val="left"/>
            </w:pPr>
            <w:r>
              <w:rPr>
                <w:sz w:val="22"/>
              </w:rPr>
              <w:t>−85…−102 дБм у приёмника; у платы с камерой около −60 дБм, в другие дни до −90…−101 дБм</w:t>
            </w:r>
          </w:p>
        </w:tc>
        <w:tc>
          <w:tcPr>
            <w:tcW w:type="dxa" w:w="2381"/>
            <w:vAlign w:val="center"/>
          </w:tcPr>
          <w:p>
            <w:pPr>
              <w:pStyle w:val="TableText"/>
              <w:keepNext/>
              <w:jc w:val="left"/>
            </w:pPr>
            <w:r>
              <w:rPr>
                <w:sz w:val="22"/>
              </w:rPr>
              <w:t>помехи платы (шина камеры, PSRAM, тактовый сигнал) и, вероятно, внешние помехи диапазона; значение непостоянно</w:t>
            </w:r>
          </w:p>
        </w:tc>
      </w:tr>
      <w:tr>
        <w:trPr>
          <w:cantSplit/>
        </w:trPr>
        <w:tc>
          <w:tcPr>
            <w:tcW w:type="dxa" w:w="2154"/>
            <w:vAlign w:val="center"/>
          </w:tcPr>
          <w:p>
            <w:pPr>
              <w:pStyle w:val="TableText"/>
              <w:keepNext/>
              <w:jc w:val="left"/>
            </w:pPr>
            <w:r>
              <w:rPr>
                <w:sz w:val="22"/>
              </w:rPr>
              <w:t>Связь на расстоянии до 5 м</w:t>
            </w:r>
          </w:p>
        </w:tc>
        <w:tc>
          <w:tcPr>
            <w:tcW w:type="dxa" w:w="2154"/>
            <w:vAlign w:val="center"/>
          </w:tcPr>
          <w:p>
            <w:pPr>
              <w:pStyle w:val="TableText"/>
              <w:keepNext/>
              <w:jc w:val="left"/>
            </w:pPr>
            <w:r>
              <w:rPr>
                <w:sz w:val="22"/>
              </w:rPr>
              <w:t>сигнал выше теплового шума более чем на 60 дБ</w:t>
            </w:r>
          </w:p>
        </w:tc>
        <w:tc>
          <w:tcPr>
            <w:tcW w:type="dxa" w:w="2665"/>
            <w:vAlign w:val="center"/>
          </w:tcPr>
          <w:p>
            <w:pPr>
              <w:pStyle w:val="TableText"/>
              <w:keepNext/>
              <w:jc w:val="left"/>
            </w:pPr>
            <w:r>
              <w:rPr>
                <w:sz w:val="22"/>
              </w:rPr>
              <w:t>связь между платами не устанавливалась: приёмник считал эфир занятым и не отвечал на запрос подключения; видеокадры ждали в очереди до 134 с</w:t>
            </w:r>
          </w:p>
        </w:tc>
        <w:tc>
          <w:tcPr>
            <w:tcW w:type="dxa" w:w="2381"/>
            <w:vAlign w:val="center"/>
          </w:tcPr>
          <w:p>
            <w:pPr>
              <w:pStyle w:val="TableText"/>
              <w:keepNext/>
              <w:jc w:val="left"/>
            </w:pPr>
            <w:r>
              <w:rPr>
                <w:sz w:val="22"/>
              </w:rPr>
              <w:t>порог занятости канала, рассчитанный модулем по измеренному фону</w:t>
            </w:r>
          </w:p>
        </w:tc>
      </w:tr>
      <w:tr>
        <w:trPr>
          <w:cantSplit/>
        </w:trPr>
        <w:tc>
          <w:tcPr>
            <w:tcW w:type="dxa" w:w="2154"/>
            <w:vAlign w:val="center"/>
          </w:tcPr>
          <w:p>
            <w:pPr>
              <w:pStyle w:val="TableText"/>
              <w:keepNext/>
              <w:jc w:val="left"/>
            </w:pPr>
            <w:r>
              <w:rPr>
                <w:sz w:val="22"/>
              </w:rPr>
              <w:t>Доля неудачных попыток передачи (PER) при отношении сигнал/шум 30–38 дБ</w:t>
            </w:r>
          </w:p>
        </w:tc>
        <w:tc>
          <w:tcPr>
            <w:tcW w:type="dxa" w:w="2154"/>
            <w:vAlign w:val="center"/>
          </w:tcPr>
          <w:p>
            <w:pPr>
              <w:pStyle w:val="TableText"/>
              <w:keepNext/>
              <w:jc w:val="left"/>
            </w:pPr>
            <w:r>
              <w:rPr>
                <w:sz w:val="22"/>
              </w:rPr>
              <w:t>близка к нулю на любой MCS</w:t>
            </w:r>
          </w:p>
        </w:tc>
        <w:tc>
          <w:tcPr>
            <w:tcW w:type="dxa" w:w="2665"/>
            <w:vAlign w:val="center"/>
          </w:tcPr>
          <w:p>
            <w:pPr>
              <w:pStyle w:val="TableText"/>
              <w:keepNext/>
              <w:jc w:val="left"/>
            </w:pPr>
            <w:r>
              <w:rPr>
                <w:sz w:val="22"/>
              </w:rPr>
              <w:t>50–67 % в итоговой версии, одинаково на всех MCS</w:t>
            </w:r>
          </w:p>
        </w:tc>
        <w:tc>
          <w:tcPr>
            <w:tcW w:type="dxa" w:w="2381"/>
            <w:vAlign w:val="center"/>
          </w:tcPr>
          <w:p>
            <w:pPr>
              <w:pStyle w:val="TableText"/>
              <w:keepNext/>
              <w:jc w:val="left"/>
            </w:pPr>
            <w:r>
              <w:rPr>
                <w:sz w:val="22"/>
              </w:rPr>
              <w:t>потери в эфире в обе стороны: около трети первых передач не доходит до приёмника, часть подтверждений не слышна камере; уровень сигнала, модуляция и длина кадра на долю потерь не влияют (подраздел 3.3)</w:t>
            </w:r>
          </w:p>
        </w:tc>
      </w:tr>
      <w:tr>
        <w:trPr>
          <w:cantSplit/>
        </w:trPr>
        <w:tc>
          <w:tcPr>
            <w:tcW w:type="dxa" w:w="2154"/>
            <w:vAlign w:val="center"/>
          </w:tcPr>
          <w:p>
            <w:pPr>
              <w:pStyle w:val="TableText"/>
              <w:keepNext/>
              <w:jc w:val="left"/>
            </w:pPr>
            <w:r>
              <w:rPr>
                <w:sz w:val="22"/>
              </w:rPr>
              <w:t>Отношение сигнал/шум на неизменной трассе 5 м через стену</w:t>
            </w:r>
          </w:p>
        </w:tc>
        <w:tc>
          <w:tcPr>
            <w:tcW w:type="dxa" w:w="2154"/>
            <w:vAlign w:val="center"/>
          </w:tcPr>
          <w:p>
            <w:pPr>
              <w:pStyle w:val="TableText"/>
              <w:keepNext/>
              <w:jc w:val="left"/>
            </w:pPr>
            <w:r>
              <w:rPr>
                <w:sz w:val="22"/>
              </w:rPr>
              <w:t>среднее значение, разброс σ неизвестен</w:t>
            </w:r>
          </w:p>
        </w:tc>
        <w:tc>
          <w:tcPr>
            <w:tcW w:type="dxa" w:w="2665"/>
            <w:vAlign w:val="center"/>
          </w:tcPr>
          <w:p>
            <w:pPr>
              <w:pStyle w:val="TableText"/>
              <w:keepNext/>
              <w:jc w:val="left"/>
            </w:pPr>
            <w:r>
              <w:rPr>
                <w:sz w:val="22"/>
              </w:rPr>
              <w:t>24–40 дБ за 5 мин при мощности 1 дБм, провалы до 12–20 дБ</w:t>
            </w:r>
          </w:p>
        </w:tc>
        <w:tc>
          <w:tcPr>
            <w:tcW w:type="dxa" w:w="2381"/>
            <w:vAlign w:val="center"/>
          </w:tcPr>
          <w:p>
            <w:pPr>
              <w:pStyle w:val="TableText"/>
              <w:keepNext/>
              <w:jc w:val="left"/>
            </w:pPr>
            <w:r>
              <w:rPr>
                <w:sz w:val="22"/>
              </w:rPr>
              <w:t>изменчивость среды: перемещение людей и предметов между платами, помехи других устройств диапазона, изменение фона платы</w:t>
            </w:r>
          </w:p>
        </w:tc>
      </w:tr>
      <w:tr>
        <w:trPr>
          <w:cantSplit/>
        </w:trPr>
        <w:tc>
          <w:tcPr>
            <w:tcW w:type="dxa" w:w="2154"/>
            <w:vAlign w:val="center"/>
          </w:tcPr>
          <w:p>
            <w:pPr>
              <w:pStyle w:val="TableText"/>
              <w:jc w:val="left"/>
            </w:pPr>
            <w:r>
              <w:rPr>
                <w:sz w:val="22"/>
              </w:rPr>
              <w:t>Пропускная способность</w:t>
            </w:r>
          </w:p>
        </w:tc>
        <w:tc>
          <w:tcPr>
            <w:tcW w:type="dxa" w:w="2154"/>
            <w:vAlign w:val="center"/>
          </w:tcPr>
          <w:p>
            <w:pPr>
              <w:pStyle w:val="TableText"/>
              <w:jc w:val="left"/>
            </w:pPr>
            <w:r>
              <w:rPr>
                <w:sz w:val="22"/>
              </w:rPr>
              <w:t>до 6,5 Мбит/с в канале 2 МГц (MCS 7), полезная — 50–70 % от неё</w:t>
            </w:r>
          </w:p>
        </w:tc>
        <w:tc>
          <w:tcPr>
            <w:tcW w:type="dxa" w:w="2665"/>
            <w:vAlign w:val="center"/>
          </w:tcPr>
          <w:p>
            <w:pPr>
              <w:pStyle w:val="TableText"/>
              <w:jc w:val="left"/>
            </w:pPr>
            <w:r>
              <w:rPr>
                <w:sz w:val="22"/>
              </w:rPr>
              <w:t>0,12 Мбит/с в исходном состоянии; 1,06 Мбит/с полезного видео в итоговой версии (5 м через стену)</w:t>
            </w:r>
          </w:p>
        </w:tc>
        <w:tc>
          <w:tcPr>
            <w:tcW w:type="dxa" w:w="2381"/>
            <w:vAlign w:val="center"/>
          </w:tcPr>
          <w:p>
            <w:pPr>
              <w:pStyle w:val="TableText"/>
              <w:jc w:val="left"/>
            </w:pPr>
            <w:r>
              <w:rPr>
                <w:sz w:val="22"/>
              </w:rPr>
              <w:t>сначала внутренние интерфейсы платы, затем повторы и потери в радиоканале между платами</w:t>
            </w:r>
          </w:p>
        </w:tc>
      </w:tr>
    </w:tbl>
    <w:p>
      <w:pPr>
        <w:spacing w:line="240" w:lineRule="auto"/>
      </w:pPr>
    </w:p>
    <w:p>
      <w:r>
        <w:t>Во-первых, модели распространения дают не одно значение, а диапазон. Для городской застройки показатель затухания n = 2,7–3,5 [6], и при одних и тех же допустимых потерях — 105 дБ у Wi-Fi HaLow на 650 кбит/с — дальность получается от 130 до 540 м, тогда как в свободном пространстве (n = 2) — 4,9 км. Две модели, предложенные специально для IEEE 802.11ah, на 1 км расходятся на 12 дБ [27], и ни одна не выведена для антенн у земли. Если взять верхнюю и нижнюю границы затенения, ответ «связь будет где-то между» верен, но для выбора канала бесполезен: границы расходятся в разы. Какое значение подходит для конкретной платформы и трассы, показывает только измерение. Даже на одной и той же трассе 5 м через стену канал заметно меняется: отношение сигнал/шум за пять минут колебалось от 24 до 40 дБ, а скорость в разное время суток различалась в 2–3 раза.</w:t>
      </w:r>
    </w:p>
    <w:p>
      <w:r>
        <w:t>Во-вторых, расчёт опирается на допущения, которые на реальной плате выполняются не всегда. Он считает, что приёму мешает только тепловой шум — в канале 2 МГц около −111 дБм (формула 1.2). На стенде фон оказался намного выше и к тому же непостоянным: у платы с камерой — от −60 до −101 дБм в разные дни, потому что электроника камеры работает в сантиметрах от антенны. Фон модуль измеряет сам: это мощность в канале в моменты, когда узлы сети не передают; по ней модуль решает, свободен ли эфир. Фон зависит от работы электроники платы — шины камеры, памяти PSRAM, тактового сигнала сенсора — и от помех других устройств, поэтому меняется в течение суток. Из-за этого на расстоянии 5 м, где по расчёту сигнал превышает шум более чем на 60 дБ, связь сначала вообще не устанавливалась: приёмник считал эфир постоянно занятым. Расчёт также предсказывает, что при сильном сигнале передачи почти не теряются, а на стенде около трети передач не доходило с первой попытки при любой скорости модуляции. Опытами исключены уровень сигнала, модуляция, длина кадра, работа сенсора камеры и настройки доступа к каналу; точную причину на этой платформе установить нельзя, потому что программа MAC-уровня модуля поставляется только в машинном коде, а модуль не сообщает, почему кадр не принят (подраздел 3.3).</w:t>
      </w:r>
    </w:p>
    <w:p>
      <w:r>
        <w:t>В-третьих, для части показателей расчёта нет вовсе: задержка, её колебания, восстановление связи после сбоя. Они зависят не от распространения радиоволн, а от программного обеспечения — очередей и алгоритмов управления. Например, пока камера отправляла новые видеокадры, не дожидаясь квитанций приёмника на предыдущие, кадры копились в очереди радиомодуля, и видео отставало от реального времени на секунду и больше; после ограничения — на 0,1–0,2 с.</w:t>
      </w:r>
    </w:p>
    <w:p>
      <w:r>
        <w:t>В-четвёртых, расчёт работает со средним уровнем сигнала, а связь рвут кратковременные провалы уровня — из-за движения людей и предметов, отражений и помех. Даже на неподвижной трассе 5 м через стену отношение сигнал/шум временами проседало до 12–20 дБ, и регулятор поднимал мощность передатчика с 1 до 11–13 дБм. Кроме того, для канала 2 МГц паспорт радиомодуля не даёт чувствительности [17], её приходится оценивать, поэтому и бюджет канала остаётся оценкой.</w:t>
      </w:r>
    </w:p>
    <w:p>
      <w:r>
        <w:t>В-пятых, расчёт описывает радиоканал, а не плату. Канал 2 МГц способен на 6,5 Мбит/с (таблица 2.1), а плата сначала передавала только 0,12 Мбит/с: мешали её внутренние интерфейсы. После доработок скорость выросла до 1,06 Мбит/с, и ограничивать стал уже радиоканал. Где находилось узкое место — сначала в плате, затем в радиоканале, — показал только эксперимент.</w:t>
      </w:r>
    </w:p>
    <w:p>
      <w:r>
        <w:t>В-шестых, опубликованные данные получены в других условиях: производитель радиомодуля мерил дальность при мощности +20 дБм [17, 28], а скорость Wi-Fi ESP32-S3 — в лаборатории [20]. В разрешённом в Российской Федерации режиме (канал 2 МГц, не более 14 дБм) их нужно проверять. И наконец, только опыт показывает, дают ли пользу доработки: например, нижняя граница модуляции по отношению сигнал/шум повысила скорость в 1,5–2 раза.</w:t>
      </w:r>
    </w:p>
    <w:p>
      <w:r>
        <w:t>Таким образом, расчёт и эксперимент в работе не противопоставляются. Расчёт задаёт форму зависимостей и оценку дальности; эксперимент даёт параметры, проверяет допущения и измеряет показатели, для которых расчёта нет. Результатом работы становятся не только измеренные величины, но и расхождение расчёта с замером и граница применимости теоретической оценки.</w:t>
      </w:r>
    </w:p>
    <w:p>
      <w:pPr>
        <w:pStyle w:val="Heading2"/>
      </w:pPr>
      <w:r>
        <w:t>2.3 Программа экспериментальных исследований</w:t>
      </w:r>
    </w:p>
    <w:p>
      <w:r>
        <w:t xml:space="preserve">Исследование разделено на три этапа (таблица </w:t>
      </w:r>
      <w:r>
        <w:t>2.3</w:t>
      </w:r>
      <w:r>
        <w:t>). Все показатели — скорость, уровень сигнала, задержка и потери — записываются в каждом опыте одновременно. Объём опытов задают число сравниваемых вариантов (каждую доработку проверяют «без неё» и «с ней») и число повторов каждого варианта.</w:t>
      </w:r>
    </w:p>
    <w:p>
      <w:pPr>
        <w:pStyle w:val="TableCaption"/>
        <w:ind w:firstLine="0"/>
      </w:pPr>
      <w:r>
        <w:t>Таблица 2.3 – Программа экспериментальных исследований</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1474"/>
        <w:gridCol w:w="2381"/>
        <w:gridCol w:w="2551"/>
        <w:gridCol w:w="2948"/>
      </w:tblGrid>
      <w:tr>
        <w:trPr>
          <w:cantSplit/>
          <w:tblHeader w:val="true"/>
        </w:trPr>
        <w:tc>
          <w:tcPr>
            <w:tcW w:type="dxa" w:w="1474"/>
            <w:vAlign w:val="center"/>
          </w:tcPr>
          <w:p>
            <w:pPr>
              <w:pStyle w:val="TableText"/>
              <w:keepNext/>
              <w:jc w:val="center"/>
            </w:pPr>
            <w:r>
              <w:rPr>
                <w:b/>
                <w:sz w:val="22"/>
              </w:rPr>
              <w:t>Этап</w:t>
            </w:r>
          </w:p>
        </w:tc>
        <w:tc>
          <w:tcPr>
            <w:tcW w:type="dxa" w:w="2381"/>
            <w:vAlign w:val="center"/>
          </w:tcPr>
          <w:p>
            <w:pPr>
              <w:pStyle w:val="TableText"/>
              <w:keepNext/>
              <w:jc w:val="center"/>
            </w:pPr>
            <w:r>
              <w:rPr>
                <w:b/>
                <w:sz w:val="22"/>
              </w:rPr>
              <w:t>Цель</w:t>
            </w:r>
          </w:p>
        </w:tc>
        <w:tc>
          <w:tcPr>
            <w:tcW w:type="dxa" w:w="2551"/>
            <w:vAlign w:val="center"/>
          </w:tcPr>
          <w:p>
            <w:pPr>
              <w:pStyle w:val="TableText"/>
              <w:keepNext/>
              <w:jc w:val="center"/>
            </w:pPr>
            <w:r>
              <w:rPr>
                <w:b/>
                <w:sz w:val="22"/>
              </w:rPr>
              <w:t>Варьируемые параметры</w:t>
            </w:r>
          </w:p>
        </w:tc>
        <w:tc>
          <w:tcPr>
            <w:tcW w:type="dxa" w:w="2948"/>
            <w:vAlign w:val="center"/>
          </w:tcPr>
          <w:p>
            <w:pPr>
              <w:pStyle w:val="TableText"/>
              <w:keepNext/>
              <w:jc w:val="center"/>
            </w:pPr>
            <w:r>
              <w:rPr>
                <w:b/>
                <w:sz w:val="22"/>
              </w:rPr>
              <w:t>Измеряемые показатели</w:t>
            </w:r>
          </w:p>
        </w:tc>
      </w:tr>
      <w:tr>
        <w:trPr>
          <w:cantSplit/>
        </w:trPr>
        <w:tc>
          <w:tcPr>
            <w:tcW w:type="dxa" w:w="1474"/>
            <w:vAlign w:val="center"/>
          </w:tcPr>
          <w:p>
            <w:pPr>
              <w:pStyle w:val="TableText"/>
              <w:keepNext/>
              <w:jc w:val="left"/>
            </w:pPr>
            <w:r>
              <w:rPr>
                <w:sz w:val="22"/>
              </w:rPr>
              <w:t>1. Стендовые испытания: в помещении до 5 м, затем 5 м через стену</w:t>
            </w:r>
          </w:p>
        </w:tc>
        <w:tc>
          <w:tcPr>
            <w:tcW w:type="dxa" w:w="2381"/>
            <w:vAlign w:val="center"/>
          </w:tcPr>
          <w:p>
            <w:pPr>
              <w:pStyle w:val="TableText"/>
              <w:keepNext/>
              <w:jc w:val="left"/>
            </w:pPr>
            <w:r>
              <w:rPr>
                <w:sz w:val="22"/>
              </w:rPr>
              <w:t>отладка тракта, ограничивающие звенья, доработки канала и их проверка чередованием «выключено / включено»</w:t>
            </w:r>
          </w:p>
        </w:tc>
        <w:tc>
          <w:tcPr>
            <w:tcW w:type="dxa" w:w="2551"/>
            <w:vAlign w:val="center"/>
          </w:tcPr>
          <w:p>
            <w:pPr>
              <w:pStyle w:val="TableText"/>
              <w:keepNext/>
              <w:jc w:val="left"/>
            </w:pPr>
            <w:r>
              <w:rPr>
                <w:sz w:val="22"/>
              </w:rPr>
              <w:t>скорость и паузы интерфейса UART, полоса и мощность, MCS, RTS/CTS, роли узлов, помехоустойчивое кодирование, управление качеством и разрешением</w:t>
            </w:r>
          </w:p>
        </w:tc>
        <w:tc>
          <w:tcPr>
            <w:tcW w:type="dxa" w:w="2948"/>
            <w:vAlign w:val="center"/>
          </w:tcPr>
          <w:p>
            <w:pPr>
              <w:pStyle w:val="TableText"/>
              <w:keepNext/>
              <w:jc w:val="left"/>
            </w:pPr>
            <w:r>
              <w:rPr>
                <w:sz w:val="22"/>
              </w:rPr>
              <w:t>полезная скорость, уровень сигнала (RSSI, SNR), задержка, потери фрагментов и видеокадров, PER</w:t>
            </w:r>
          </w:p>
        </w:tc>
      </w:tr>
      <w:tr>
        <w:trPr>
          <w:cantSplit/>
        </w:trPr>
        <w:tc>
          <w:tcPr>
            <w:tcW w:type="dxa" w:w="1474"/>
            <w:vAlign w:val="center"/>
          </w:tcPr>
          <w:p>
            <w:pPr>
              <w:pStyle w:val="TableText"/>
              <w:keepNext/>
              <w:jc w:val="left"/>
            </w:pPr>
            <w:r>
              <w:rPr>
                <w:sz w:val="22"/>
              </w:rPr>
              <w:t>2. Оценка дальности</w:t>
            </w:r>
          </w:p>
        </w:tc>
        <w:tc>
          <w:tcPr>
            <w:tcW w:type="dxa" w:w="2381"/>
            <w:vAlign w:val="center"/>
          </w:tcPr>
          <w:p>
            <w:pPr>
              <w:pStyle w:val="TableText"/>
              <w:keepNext/>
              <w:jc w:val="left"/>
            </w:pPr>
            <w:r>
              <w:rPr>
                <w:sz w:val="22"/>
              </w:rPr>
              <w:t>граница связи и видеосвязи; расчёт для разных высот антенн</w:t>
            </w:r>
          </w:p>
        </w:tc>
        <w:tc>
          <w:tcPr>
            <w:tcW w:type="dxa" w:w="2551"/>
            <w:vAlign w:val="center"/>
          </w:tcPr>
          <w:p>
            <w:pPr>
              <w:pStyle w:val="TableText"/>
              <w:keepNext/>
              <w:jc w:val="left"/>
            </w:pPr>
            <w:r>
              <w:rPr>
                <w:sz w:val="22"/>
              </w:rPr>
              <w:t>потери на трассе, высота антенн (расчёт)</w:t>
            </w:r>
          </w:p>
        </w:tc>
        <w:tc>
          <w:tcPr>
            <w:tcW w:type="dxa" w:w="2948"/>
            <w:vAlign w:val="center"/>
          </w:tcPr>
          <w:p>
            <w:pPr>
              <w:pStyle w:val="TableText"/>
              <w:keepNext/>
              <w:jc w:val="left"/>
            </w:pPr>
            <w:r>
              <w:rPr>
                <w:sz w:val="22"/>
              </w:rPr>
              <w:t>расстояние и потери на трассе прямой видимости в каждом состоянии связи; расчёт бюджета канала и опубликованные натурные данные</w:t>
            </w:r>
          </w:p>
        </w:tc>
      </w:tr>
      <w:tr>
        <w:trPr>
          <w:cantSplit/>
        </w:trPr>
        <w:tc>
          <w:tcPr>
            <w:tcW w:type="dxa" w:w="1474"/>
            <w:vAlign w:val="center"/>
          </w:tcPr>
          <w:p>
            <w:pPr>
              <w:pStyle w:val="TableText"/>
              <w:jc w:val="left"/>
            </w:pPr>
            <w:r>
              <w:rPr>
                <w:sz w:val="22"/>
              </w:rPr>
              <w:t>3. Сравнение с другими протоколами</w:t>
            </w:r>
          </w:p>
        </w:tc>
        <w:tc>
          <w:tcPr>
            <w:tcW w:type="dxa" w:w="2381"/>
            <w:vAlign w:val="center"/>
          </w:tcPr>
          <w:p>
            <w:pPr>
              <w:pStyle w:val="TableText"/>
              <w:jc w:val="left"/>
            </w:pPr>
            <w:r>
              <w:rPr>
                <w:sz w:val="22"/>
              </w:rPr>
              <w:t>сравнение с IEEE 802.11 (2,4 ГГц) и LoRa</w:t>
            </w:r>
          </w:p>
        </w:tc>
        <w:tc>
          <w:tcPr>
            <w:tcW w:type="dxa" w:w="2551"/>
            <w:vAlign w:val="center"/>
          </w:tcPr>
          <w:p>
            <w:pPr>
              <w:pStyle w:val="TableText"/>
              <w:jc w:val="left"/>
            </w:pPr>
            <w:r>
              <w:rPr>
                <w:sz w:val="22"/>
              </w:rPr>
              <w:t>протокол и диапазон</w:t>
            </w:r>
          </w:p>
        </w:tc>
        <w:tc>
          <w:tcPr>
            <w:tcW w:type="dxa" w:w="2948"/>
            <w:vAlign w:val="center"/>
          </w:tcPr>
          <w:p>
            <w:pPr>
              <w:pStyle w:val="TableText"/>
              <w:jc w:val="left"/>
            </w:pPr>
            <w:r>
              <w:rPr>
                <w:sz w:val="22"/>
              </w:rPr>
              <w:t>уровень сигнала, задержка, потери и пропускная способность Wi-Fi 2,4 ГГц — измерение на той же паре плат на трассе 5 м через стену; граница связи — измерение на той же паре плат; LoRa — опубликованные данные</w:t>
            </w:r>
          </w:p>
        </w:tc>
      </w:tr>
    </w:tbl>
    <w:p>
      <w:pPr>
        <w:spacing w:line="240" w:lineRule="auto"/>
      </w:pPr>
    </w:p>
    <w:p>
      <w:r>
        <w:t>Загрузка канала создаётся видеопотоком с камеры; качество сжатия JPEG и разрешение задаются на камере, а канал Wi-Fi HaLow только переносит поток. Для отделения потолка канала от камеры используется синтетический источник — копии одного видеокадра, проходящие тот же тракт. Граница связи измеряется на трассе прямой видимости (раздел 2.4); для разных высот антенн дальность оценивается расчётом и сопоставляется с опубликованными натурными данными. Wi-Fi 2,4 ГГц измерен на той же паре плат на трассе 5 м через стену и при измерении границы связи: тот же видеопоток передаётся встроенным радиотрактом процессора ESP32-S3 вместо модуля TX-AH, а ёмкость канала определяется синтетическим потоком пакетов по 1400 Б, передаваемых без пауз (раздел 3.7). Сравнение с LoRa по пропускной способности выполняется по литературным данным: она на два порядка ниже скорости видео, и натурное сравнение по этому показателю неинформативно.</w:t>
      </w:r>
    </w:p>
    <w:p>
      <w:r>
        <w:t>Лабораторный этап был проверкой заводской настройки модуля — решения «из коробки», с которым платы поставляет производитель: канал шириной 4 МГц с центром 866,0 МГц (864–868 МГц) и мощность 20 дБм. Эта настройка — пример производителя, а не настройка для конкретной страны: по документации радиомодуля частоты и ширину канала выбирает разработчик изделия по нормам страны применения [29]. Опыты проводились кратковременно, в помещении на расстоянии до 5 м. Проверка показала, что заводская настройка для Российской Федерации непригодна: канал выходит за полосу 866–868 МГц, а мощность превышает разрешённые 25 мВт. Не лучшая она и по качеству связи: при сужении полосы приёма потери уменьшаются, а канал 2 МГц устанавливает связь не хуже более широких (подраздел 3.2). Поэтому после данного этапа все испытания выполняются в разрешённой конфигурации: канал 2 МГц с центром 867,0 МГц (866–868 МГц), мощность не более 14 дБм (25 мВт), ограничение заложено во встроенную программу модуля. Результаты лабораторного этапа используются только для сравнения вариантов между собой.</w:t>
      </w:r>
    </w:p>
    <w:p>
      <w:pPr>
        <w:pStyle w:val="Heading2"/>
      </w:pPr>
      <w:r>
        <w:t>2.4 Методика измерений и обработки результатов</w:t>
      </w:r>
    </w:p>
    <w:p>
      <w:r>
        <w:rPr>
          <w:b/>
        </w:rPr>
        <w:t xml:space="preserve">Показатели. </w:t>
      </w:r>
      <w:r>
        <w:t>Камера передаёт свой журнал по радиоканалу, а программа просмотра на компьютере раз в секунду записывает показатели в файл CSV:</w:t>
      </w:r>
    </w:p>
    <w:p>
      <w:r>
        <w:t xml:space="preserve">– </w:t>
      </w:r>
      <w:r>
        <w:t>полезная скорость — объём JPEG видеокадров, показанных программой просмотра, за 1 с, кбит/с;</w:t>
      </w:r>
    </w:p>
    <w:p>
      <w:r>
        <w:t xml:space="preserve">– </w:t>
      </w:r>
      <w:r>
        <w:t>потери видеокадров — доля видеокадров, не показанных после восстановления помехоустойчивым кодом и досылки;</w:t>
      </w:r>
    </w:p>
    <w:p>
      <w:r>
        <w:t xml:space="preserve">– </w:t>
      </w:r>
      <w:r>
        <w:t>потери фрагментов — доля фрагментов видеокадров, не дошедших до приёмника после всех повторов на уровне MAC;</w:t>
      </w:r>
    </w:p>
    <w:p>
      <w:r>
        <w:t xml:space="preserve">– </w:t>
      </w:r>
      <w:r>
        <w:t>PER — доля попыток передачи, на которые модуль не получил подтверждения от приёмника. Попытки бывают трёх видов: первая передача кадра с видеоданными; повторы этого кадра, если подтверждение не пришло; пробные передачи на другой схеме модуляции, которыми модуль сам проверяет, не пройдёт ли более быстрая. Неудачной считается и попытка, которая до приёмника дошла, но подтверждение на неё потерялось. Поэтому PER показывает, насколько трудно работает радиоканал, а не сколько данных потеряно: то, что не дошло после всех повторов, отражают потери фрагментов и видеокадров;</w:t>
      </w:r>
    </w:p>
    <w:p>
      <w:r>
        <w:t xml:space="preserve">– </w:t>
      </w:r>
      <w:r>
        <w:t>уровень сигнала — RSSI и отношение сигнал/шум (SNR) по отчётам модуля, индекс модуляции (MCS) и мощность передатчика;</w:t>
      </w:r>
    </w:p>
    <w:p>
      <w:r>
        <w:t xml:space="preserve">– </w:t>
      </w:r>
      <w:r>
        <w:t>задержка (RTT) — время, которое измеряет процессор платы камеры: отсчёт начинается, когда он закончил передавать видеокадр в радиомодуль по UART, и заканчивается, когда по радиоканалу пришла квитанция приёмника на этот видеокадр. В неё входят очередь в модуле, передача по эфиру, обработка на приёмнике и обратный путь квитанции. Используется медиана за секунду и за опыт. Дополнительно регистрируется полный путь — от начала съёмки видеокадра сенсором до квитанции, — в который входят ещё съёмка, сжатие и передача по UART (схема тракта — на рисунке 2.2).</w:t>
      </w:r>
    </w:p>
    <w:p>
      <w:r>
        <w:t>Фрагмент ежесекундной записи программы просмотра приведён в таблице 2.4 (строки через 60 с; в файле записывается 70 показателей, в таблице — основные).</w:t>
      </w:r>
    </w:p>
    <w:p>
      <w:pPr>
        <w:pStyle w:val="TableCaption"/>
        <w:ind w:firstLine="0"/>
      </w:pPr>
      <w:r>
        <w:t>Таблица 2.4 – Фрагмент журнала программы просмотра (контрольный опыт итоговой версии)</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680"/>
        <w:gridCol w:w="793"/>
        <w:gridCol w:w="1133"/>
        <w:gridCol w:w="1020"/>
        <w:gridCol w:w="907"/>
        <w:gridCol w:w="793"/>
        <w:gridCol w:w="793"/>
        <w:gridCol w:w="1020"/>
        <w:gridCol w:w="850"/>
        <w:gridCol w:w="907"/>
      </w:tblGrid>
      <w:tr>
        <w:trPr>
          <w:cantSplit/>
          <w:tblHeader w:val="true"/>
        </w:trPr>
        <w:tc>
          <w:tcPr>
            <w:tcW w:type="dxa" w:w="680"/>
            <w:vAlign w:val="center"/>
          </w:tcPr>
          <w:p>
            <w:pPr>
              <w:pStyle w:val="TableText"/>
              <w:keepNext/>
              <w:jc w:val="center"/>
            </w:pPr>
            <w:r>
              <w:rPr>
                <w:b/>
                <w:sz w:val="20"/>
              </w:rPr>
              <w:t>t, с</w:t>
            </w:r>
          </w:p>
        </w:tc>
        <w:tc>
          <w:tcPr>
            <w:tcW w:type="dxa" w:w="794"/>
            <w:vAlign w:val="center"/>
          </w:tcPr>
          <w:p>
            <w:pPr>
              <w:pStyle w:val="TableText"/>
              <w:keepNext/>
              <w:jc w:val="center"/>
            </w:pPr>
            <w:r>
              <w:rPr>
                <w:b/>
                <w:sz w:val="20"/>
              </w:rPr>
              <w:t>Кадр/с</w:t>
            </w:r>
          </w:p>
        </w:tc>
        <w:tc>
          <w:tcPr>
            <w:tcW w:type="dxa" w:w="1134"/>
            <w:vAlign w:val="center"/>
          </w:tcPr>
          <w:p>
            <w:pPr>
              <w:pStyle w:val="TableText"/>
              <w:keepNext/>
              <w:jc w:val="center"/>
            </w:pPr>
            <w:r>
              <w:rPr>
                <w:b/>
                <w:sz w:val="20"/>
              </w:rPr>
              <w:t>Полезная скорость, кбит/с</w:t>
            </w:r>
          </w:p>
        </w:tc>
        <w:tc>
          <w:tcPr>
            <w:tcW w:type="dxa" w:w="1020"/>
            <w:vAlign w:val="center"/>
          </w:tcPr>
          <w:p>
            <w:pPr>
              <w:pStyle w:val="TableText"/>
              <w:keepNext/>
              <w:jc w:val="center"/>
            </w:pPr>
            <w:r>
              <w:rPr>
                <w:b/>
                <w:sz w:val="20"/>
              </w:rPr>
              <w:t>Потери фрагментов, %</w:t>
            </w:r>
          </w:p>
        </w:tc>
        <w:tc>
          <w:tcPr>
            <w:tcW w:type="dxa" w:w="907"/>
            <w:vAlign w:val="center"/>
          </w:tcPr>
          <w:p>
            <w:pPr>
              <w:pStyle w:val="TableText"/>
              <w:keepNext/>
              <w:jc w:val="center"/>
            </w:pPr>
            <w:r>
              <w:rPr>
                <w:b/>
                <w:sz w:val="20"/>
              </w:rPr>
              <w:t>RSSI, дБм</w:t>
            </w:r>
          </w:p>
        </w:tc>
        <w:tc>
          <w:tcPr>
            <w:tcW w:type="dxa" w:w="794"/>
            <w:vAlign w:val="center"/>
          </w:tcPr>
          <w:p>
            <w:pPr>
              <w:pStyle w:val="TableText"/>
              <w:keepNext/>
              <w:jc w:val="center"/>
            </w:pPr>
            <w:r>
              <w:rPr>
                <w:b/>
                <w:sz w:val="20"/>
              </w:rPr>
              <w:t>SNR, дБ</w:t>
            </w:r>
          </w:p>
        </w:tc>
        <w:tc>
          <w:tcPr>
            <w:tcW w:type="dxa" w:w="794"/>
            <w:vAlign w:val="center"/>
          </w:tcPr>
          <w:p>
            <w:pPr>
              <w:pStyle w:val="TableText"/>
              <w:keepNext/>
              <w:jc w:val="center"/>
            </w:pPr>
            <w:r>
              <w:rPr>
                <w:b/>
                <w:sz w:val="20"/>
              </w:rPr>
              <w:t>P, дБм</w:t>
            </w:r>
          </w:p>
        </w:tc>
        <w:tc>
          <w:tcPr>
            <w:tcW w:type="dxa" w:w="1020"/>
            <w:vAlign w:val="center"/>
          </w:tcPr>
          <w:p>
            <w:pPr>
              <w:pStyle w:val="TableText"/>
              <w:keepNext/>
              <w:jc w:val="center"/>
            </w:pPr>
            <w:r>
              <w:rPr>
                <w:b/>
                <w:sz w:val="20"/>
              </w:rPr>
              <w:t>MCS (граница)</w:t>
            </w:r>
          </w:p>
        </w:tc>
        <w:tc>
          <w:tcPr>
            <w:tcW w:type="dxa" w:w="850"/>
            <w:vAlign w:val="center"/>
          </w:tcPr>
          <w:p>
            <w:pPr>
              <w:pStyle w:val="TableText"/>
              <w:keepNext/>
              <w:jc w:val="center"/>
            </w:pPr>
            <w:r>
              <w:rPr>
                <w:b/>
                <w:sz w:val="20"/>
              </w:rPr>
              <w:t>PER, %</w:t>
            </w:r>
          </w:p>
        </w:tc>
        <w:tc>
          <w:tcPr>
            <w:tcW w:type="dxa" w:w="907"/>
            <w:vAlign w:val="center"/>
          </w:tcPr>
          <w:p>
            <w:pPr>
              <w:pStyle w:val="TableText"/>
              <w:keepNext/>
              <w:jc w:val="center"/>
            </w:pPr>
            <w:r>
              <w:rPr>
                <w:b/>
                <w:sz w:val="20"/>
              </w:rPr>
              <w:t>RTT, мс</w:t>
            </w:r>
          </w:p>
        </w:tc>
      </w:tr>
      <w:tr>
        <w:trPr>
          <w:cantSplit/>
        </w:trPr>
        <w:tc>
          <w:tcPr>
            <w:tcW w:type="dxa" w:w="680"/>
            <w:vAlign w:val="center"/>
          </w:tcPr>
          <w:p>
            <w:pPr>
              <w:pStyle w:val="TableText"/>
              <w:keepNext/>
              <w:jc w:val="center"/>
            </w:pPr>
            <w:r>
              <w:rPr>
                <w:sz w:val="20"/>
              </w:rPr>
              <w:t>30</w:t>
            </w:r>
          </w:p>
        </w:tc>
        <w:tc>
          <w:tcPr>
            <w:tcW w:type="dxa" w:w="794"/>
            <w:vAlign w:val="center"/>
          </w:tcPr>
          <w:p>
            <w:pPr>
              <w:pStyle w:val="TableText"/>
              <w:keepNext/>
              <w:jc w:val="center"/>
            </w:pPr>
            <w:r>
              <w:rPr>
                <w:sz w:val="20"/>
              </w:rPr>
              <w:t>5,0</w:t>
            </w:r>
          </w:p>
        </w:tc>
        <w:tc>
          <w:tcPr>
            <w:tcW w:type="dxa" w:w="1134"/>
            <w:vAlign w:val="center"/>
          </w:tcPr>
          <w:p>
            <w:pPr>
              <w:pStyle w:val="TableText"/>
              <w:keepNext/>
              <w:jc w:val="center"/>
            </w:pPr>
            <w:r>
              <w:rPr>
                <w:sz w:val="20"/>
              </w:rPr>
              <w:t>1170</w:t>
            </w:r>
          </w:p>
        </w:tc>
        <w:tc>
          <w:tcPr>
            <w:tcW w:type="dxa" w:w="1020"/>
            <w:vAlign w:val="center"/>
          </w:tcPr>
          <w:p>
            <w:pPr>
              <w:pStyle w:val="TableText"/>
              <w:keepNext/>
              <w:jc w:val="center"/>
            </w:pPr>
            <w:r>
              <w:rPr>
                <w:sz w:val="20"/>
              </w:rPr>
              <w:t>1,43</w:t>
            </w:r>
          </w:p>
        </w:tc>
        <w:tc>
          <w:tcPr>
            <w:tcW w:type="dxa" w:w="907"/>
            <w:vAlign w:val="center"/>
          </w:tcPr>
          <w:p>
            <w:pPr>
              <w:pStyle w:val="TableText"/>
              <w:keepNext/>
              <w:jc w:val="center"/>
            </w:pPr>
            <w:r>
              <w:rPr>
                <w:sz w:val="20"/>
              </w:rPr>
              <w:t>−52</w:t>
            </w:r>
          </w:p>
        </w:tc>
        <w:tc>
          <w:tcPr>
            <w:tcW w:type="dxa" w:w="794"/>
            <w:vAlign w:val="center"/>
          </w:tcPr>
          <w:p>
            <w:pPr>
              <w:pStyle w:val="TableText"/>
              <w:keepNext/>
              <w:jc w:val="center"/>
            </w:pPr>
            <w:r>
              <w:rPr>
                <w:sz w:val="20"/>
              </w:rPr>
              <w:t>36</w:t>
            </w:r>
          </w:p>
        </w:tc>
        <w:tc>
          <w:tcPr>
            <w:tcW w:type="dxa" w:w="794"/>
            <w:vAlign w:val="center"/>
          </w:tcPr>
          <w:p>
            <w:pPr>
              <w:pStyle w:val="TableText"/>
              <w:keepNext/>
              <w:jc w:val="center"/>
            </w:pPr>
            <w:r>
              <w:rPr>
                <w:sz w:val="20"/>
              </w:rPr>
              <w:t>1</w:t>
            </w:r>
          </w:p>
        </w:tc>
        <w:tc>
          <w:tcPr>
            <w:tcW w:type="dxa" w:w="1020"/>
            <w:vAlign w:val="center"/>
          </w:tcPr>
          <w:p>
            <w:pPr>
              <w:pStyle w:val="TableText"/>
              <w:keepNext/>
              <w:jc w:val="center"/>
            </w:pPr>
            <w:r>
              <w:rPr>
                <w:sz w:val="20"/>
              </w:rPr>
              <w:t>4 (4)</w:t>
            </w:r>
          </w:p>
        </w:tc>
        <w:tc>
          <w:tcPr>
            <w:tcW w:type="dxa" w:w="850"/>
            <w:vAlign w:val="center"/>
          </w:tcPr>
          <w:p>
            <w:pPr>
              <w:pStyle w:val="TableText"/>
              <w:keepNext/>
              <w:jc w:val="center"/>
            </w:pPr>
            <w:r>
              <w:rPr>
                <w:sz w:val="20"/>
              </w:rPr>
              <w:t>65</w:t>
            </w:r>
          </w:p>
        </w:tc>
        <w:tc>
          <w:tcPr>
            <w:tcW w:type="dxa" w:w="907"/>
            <w:vAlign w:val="center"/>
          </w:tcPr>
          <w:p>
            <w:pPr>
              <w:pStyle w:val="TableText"/>
              <w:keepNext/>
              <w:jc w:val="center"/>
            </w:pPr>
            <w:r>
              <w:rPr>
                <w:sz w:val="20"/>
              </w:rPr>
              <w:t>438</w:t>
            </w:r>
          </w:p>
        </w:tc>
      </w:tr>
      <w:tr>
        <w:trPr>
          <w:cantSplit/>
        </w:trPr>
        <w:tc>
          <w:tcPr>
            <w:tcW w:type="dxa" w:w="680"/>
            <w:vAlign w:val="center"/>
          </w:tcPr>
          <w:p>
            <w:pPr>
              <w:pStyle w:val="TableText"/>
              <w:keepNext/>
              <w:jc w:val="center"/>
            </w:pPr>
            <w:r>
              <w:rPr>
                <w:sz w:val="20"/>
              </w:rPr>
              <w:t>90</w:t>
            </w:r>
          </w:p>
        </w:tc>
        <w:tc>
          <w:tcPr>
            <w:tcW w:type="dxa" w:w="794"/>
            <w:vAlign w:val="center"/>
          </w:tcPr>
          <w:p>
            <w:pPr>
              <w:pStyle w:val="TableText"/>
              <w:keepNext/>
              <w:jc w:val="center"/>
            </w:pPr>
            <w:r>
              <w:rPr>
                <w:sz w:val="20"/>
              </w:rPr>
              <w:t>6,6</w:t>
            </w:r>
          </w:p>
        </w:tc>
        <w:tc>
          <w:tcPr>
            <w:tcW w:type="dxa" w:w="1134"/>
            <w:vAlign w:val="center"/>
          </w:tcPr>
          <w:p>
            <w:pPr>
              <w:pStyle w:val="TableText"/>
              <w:keepNext/>
              <w:jc w:val="center"/>
            </w:pPr>
            <w:r>
              <w:rPr>
                <w:sz w:val="20"/>
              </w:rPr>
              <w:t>1125</w:t>
            </w:r>
          </w:p>
        </w:tc>
        <w:tc>
          <w:tcPr>
            <w:tcW w:type="dxa" w:w="1020"/>
            <w:vAlign w:val="center"/>
          </w:tcPr>
          <w:p>
            <w:pPr>
              <w:pStyle w:val="TableText"/>
              <w:keepNext/>
              <w:jc w:val="center"/>
            </w:pPr>
            <w:r>
              <w:rPr>
                <w:sz w:val="20"/>
              </w:rPr>
              <w:t>1,08</w:t>
            </w:r>
          </w:p>
        </w:tc>
        <w:tc>
          <w:tcPr>
            <w:tcW w:type="dxa" w:w="907"/>
            <w:vAlign w:val="center"/>
          </w:tcPr>
          <w:p>
            <w:pPr>
              <w:pStyle w:val="TableText"/>
              <w:keepNext/>
              <w:jc w:val="center"/>
            </w:pPr>
            <w:r>
              <w:rPr>
                <w:sz w:val="20"/>
              </w:rPr>
              <w:t>−49</w:t>
            </w:r>
          </w:p>
        </w:tc>
        <w:tc>
          <w:tcPr>
            <w:tcW w:type="dxa" w:w="794"/>
            <w:vAlign w:val="center"/>
          </w:tcPr>
          <w:p>
            <w:pPr>
              <w:pStyle w:val="TableText"/>
              <w:keepNext/>
              <w:jc w:val="center"/>
            </w:pPr>
            <w:r>
              <w:rPr>
                <w:sz w:val="20"/>
              </w:rPr>
              <w:t>38</w:t>
            </w:r>
          </w:p>
        </w:tc>
        <w:tc>
          <w:tcPr>
            <w:tcW w:type="dxa" w:w="794"/>
            <w:vAlign w:val="center"/>
          </w:tcPr>
          <w:p>
            <w:pPr>
              <w:pStyle w:val="TableText"/>
              <w:keepNext/>
              <w:jc w:val="center"/>
            </w:pPr>
            <w:r>
              <w:rPr>
                <w:sz w:val="20"/>
              </w:rPr>
              <w:t>1</w:t>
            </w:r>
          </w:p>
        </w:tc>
        <w:tc>
          <w:tcPr>
            <w:tcW w:type="dxa" w:w="1020"/>
            <w:vAlign w:val="center"/>
          </w:tcPr>
          <w:p>
            <w:pPr>
              <w:pStyle w:val="TableText"/>
              <w:keepNext/>
              <w:jc w:val="center"/>
            </w:pPr>
            <w:r>
              <w:rPr>
                <w:sz w:val="20"/>
              </w:rPr>
              <w:t>4 (4)</w:t>
            </w:r>
          </w:p>
        </w:tc>
        <w:tc>
          <w:tcPr>
            <w:tcW w:type="dxa" w:w="850"/>
            <w:vAlign w:val="center"/>
          </w:tcPr>
          <w:p>
            <w:pPr>
              <w:pStyle w:val="TableText"/>
              <w:keepNext/>
              <w:jc w:val="center"/>
            </w:pPr>
            <w:r>
              <w:rPr>
                <w:sz w:val="20"/>
              </w:rPr>
              <w:t>65</w:t>
            </w:r>
          </w:p>
        </w:tc>
        <w:tc>
          <w:tcPr>
            <w:tcW w:type="dxa" w:w="907"/>
            <w:vAlign w:val="center"/>
          </w:tcPr>
          <w:p>
            <w:pPr>
              <w:pStyle w:val="TableText"/>
              <w:keepNext/>
              <w:jc w:val="center"/>
            </w:pPr>
            <w:r>
              <w:rPr>
                <w:sz w:val="20"/>
              </w:rPr>
              <w:t>433</w:t>
            </w:r>
          </w:p>
        </w:tc>
      </w:tr>
      <w:tr>
        <w:trPr>
          <w:cantSplit/>
        </w:trPr>
        <w:tc>
          <w:tcPr>
            <w:tcW w:type="dxa" w:w="680"/>
            <w:vAlign w:val="center"/>
          </w:tcPr>
          <w:p>
            <w:pPr>
              <w:pStyle w:val="TableText"/>
              <w:keepNext/>
              <w:jc w:val="center"/>
            </w:pPr>
            <w:r>
              <w:rPr>
                <w:sz w:val="20"/>
              </w:rPr>
              <w:t>150</w:t>
            </w:r>
          </w:p>
        </w:tc>
        <w:tc>
          <w:tcPr>
            <w:tcW w:type="dxa" w:w="794"/>
            <w:vAlign w:val="center"/>
          </w:tcPr>
          <w:p>
            <w:pPr>
              <w:pStyle w:val="TableText"/>
              <w:keepNext/>
              <w:jc w:val="center"/>
            </w:pPr>
            <w:r>
              <w:rPr>
                <w:sz w:val="20"/>
              </w:rPr>
              <w:t>6,0</w:t>
            </w:r>
          </w:p>
        </w:tc>
        <w:tc>
          <w:tcPr>
            <w:tcW w:type="dxa" w:w="1134"/>
            <w:vAlign w:val="center"/>
          </w:tcPr>
          <w:p>
            <w:pPr>
              <w:pStyle w:val="TableText"/>
              <w:keepNext/>
              <w:jc w:val="center"/>
            </w:pPr>
            <w:r>
              <w:rPr>
                <w:sz w:val="20"/>
              </w:rPr>
              <w:t>1023</w:t>
            </w:r>
          </w:p>
        </w:tc>
        <w:tc>
          <w:tcPr>
            <w:tcW w:type="dxa" w:w="1020"/>
            <w:vAlign w:val="center"/>
          </w:tcPr>
          <w:p>
            <w:pPr>
              <w:pStyle w:val="TableText"/>
              <w:keepNext/>
              <w:jc w:val="center"/>
            </w:pPr>
            <w:r>
              <w:rPr>
                <w:sz w:val="20"/>
              </w:rPr>
              <w:t>1,50</w:t>
            </w:r>
          </w:p>
        </w:tc>
        <w:tc>
          <w:tcPr>
            <w:tcW w:type="dxa" w:w="907"/>
            <w:vAlign w:val="center"/>
          </w:tcPr>
          <w:p>
            <w:pPr>
              <w:pStyle w:val="TableText"/>
              <w:keepNext/>
              <w:jc w:val="center"/>
            </w:pPr>
            <w:r>
              <w:rPr>
                <w:sz w:val="20"/>
              </w:rPr>
              <w:t>−50</w:t>
            </w:r>
          </w:p>
        </w:tc>
        <w:tc>
          <w:tcPr>
            <w:tcW w:type="dxa" w:w="794"/>
            <w:vAlign w:val="center"/>
          </w:tcPr>
          <w:p>
            <w:pPr>
              <w:pStyle w:val="TableText"/>
              <w:keepNext/>
              <w:jc w:val="center"/>
            </w:pPr>
            <w:r>
              <w:rPr>
                <w:sz w:val="20"/>
              </w:rPr>
              <w:t>34</w:t>
            </w:r>
          </w:p>
        </w:tc>
        <w:tc>
          <w:tcPr>
            <w:tcW w:type="dxa" w:w="794"/>
            <w:vAlign w:val="center"/>
          </w:tcPr>
          <w:p>
            <w:pPr>
              <w:pStyle w:val="TableText"/>
              <w:keepNext/>
              <w:jc w:val="center"/>
            </w:pPr>
            <w:r>
              <w:rPr>
                <w:sz w:val="20"/>
              </w:rPr>
              <w:t>1</w:t>
            </w:r>
          </w:p>
        </w:tc>
        <w:tc>
          <w:tcPr>
            <w:tcW w:type="dxa" w:w="1020"/>
            <w:vAlign w:val="center"/>
          </w:tcPr>
          <w:p>
            <w:pPr>
              <w:pStyle w:val="TableText"/>
              <w:keepNext/>
              <w:jc w:val="center"/>
            </w:pPr>
            <w:r>
              <w:rPr>
                <w:sz w:val="20"/>
              </w:rPr>
              <w:t>4 (4)</w:t>
            </w:r>
          </w:p>
        </w:tc>
        <w:tc>
          <w:tcPr>
            <w:tcW w:type="dxa" w:w="850"/>
            <w:vAlign w:val="center"/>
          </w:tcPr>
          <w:p>
            <w:pPr>
              <w:pStyle w:val="TableText"/>
              <w:keepNext/>
              <w:jc w:val="center"/>
            </w:pPr>
            <w:r>
              <w:rPr>
                <w:sz w:val="20"/>
              </w:rPr>
              <w:t>74</w:t>
            </w:r>
          </w:p>
        </w:tc>
        <w:tc>
          <w:tcPr>
            <w:tcW w:type="dxa" w:w="907"/>
            <w:vAlign w:val="center"/>
          </w:tcPr>
          <w:p>
            <w:pPr>
              <w:pStyle w:val="TableText"/>
              <w:keepNext/>
              <w:jc w:val="center"/>
            </w:pPr>
            <w:r>
              <w:rPr>
                <w:sz w:val="20"/>
              </w:rPr>
              <w:t>413</w:t>
            </w:r>
          </w:p>
        </w:tc>
      </w:tr>
      <w:tr>
        <w:trPr>
          <w:cantSplit/>
        </w:trPr>
        <w:tc>
          <w:tcPr>
            <w:tcW w:type="dxa" w:w="680"/>
            <w:vAlign w:val="center"/>
          </w:tcPr>
          <w:p>
            <w:pPr>
              <w:pStyle w:val="TableText"/>
              <w:keepNext/>
              <w:jc w:val="center"/>
            </w:pPr>
            <w:r>
              <w:rPr>
                <w:sz w:val="20"/>
              </w:rPr>
              <w:t>210</w:t>
            </w:r>
          </w:p>
        </w:tc>
        <w:tc>
          <w:tcPr>
            <w:tcW w:type="dxa" w:w="794"/>
            <w:vAlign w:val="center"/>
          </w:tcPr>
          <w:p>
            <w:pPr>
              <w:pStyle w:val="TableText"/>
              <w:keepNext/>
              <w:jc w:val="center"/>
            </w:pPr>
            <w:r>
              <w:rPr>
                <w:sz w:val="20"/>
              </w:rPr>
              <w:t>6,0</w:t>
            </w:r>
          </w:p>
        </w:tc>
        <w:tc>
          <w:tcPr>
            <w:tcW w:type="dxa" w:w="1134"/>
            <w:vAlign w:val="center"/>
          </w:tcPr>
          <w:p>
            <w:pPr>
              <w:pStyle w:val="TableText"/>
              <w:keepNext/>
              <w:jc w:val="center"/>
            </w:pPr>
            <w:r>
              <w:rPr>
                <w:sz w:val="20"/>
              </w:rPr>
              <w:t>1024</w:t>
            </w:r>
          </w:p>
        </w:tc>
        <w:tc>
          <w:tcPr>
            <w:tcW w:type="dxa" w:w="1020"/>
            <w:vAlign w:val="center"/>
          </w:tcPr>
          <w:p>
            <w:pPr>
              <w:pStyle w:val="TableText"/>
              <w:keepNext/>
              <w:jc w:val="center"/>
            </w:pPr>
            <w:r>
              <w:rPr>
                <w:sz w:val="20"/>
              </w:rPr>
              <w:t>1,48</w:t>
            </w:r>
          </w:p>
        </w:tc>
        <w:tc>
          <w:tcPr>
            <w:tcW w:type="dxa" w:w="907"/>
            <w:vAlign w:val="center"/>
          </w:tcPr>
          <w:p>
            <w:pPr>
              <w:pStyle w:val="TableText"/>
              <w:keepNext/>
              <w:jc w:val="center"/>
            </w:pPr>
            <w:r>
              <w:rPr>
                <w:sz w:val="20"/>
              </w:rPr>
              <w:t>−50</w:t>
            </w:r>
          </w:p>
        </w:tc>
        <w:tc>
          <w:tcPr>
            <w:tcW w:type="dxa" w:w="794"/>
            <w:vAlign w:val="center"/>
          </w:tcPr>
          <w:p>
            <w:pPr>
              <w:pStyle w:val="TableText"/>
              <w:keepNext/>
              <w:jc w:val="center"/>
            </w:pPr>
            <w:r>
              <w:rPr>
                <w:sz w:val="20"/>
              </w:rPr>
              <w:t>38</w:t>
            </w:r>
          </w:p>
        </w:tc>
        <w:tc>
          <w:tcPr>
            <w:tcW w:type="dxa" w:w="794"/>
            <w:vAlign w:val="center"/>
          </w:tcPr>
          <w:p>
            <w:pPr>
              <w:pStyle w:val="TableText"/>
              <w:keepNext/>
              <w:jc w:val="center"/>
            </w:pPr>
            <w:r>
              <w:rPr>
                <w:sz w:val="20"/>
              </w:rPr>
              <w:t>1</w:t>
            </w:r>
          </w:p>
        </w:tc>
        <w:tc>
          <w:tcPr>
            <w:tcW w:type="dxa" w:w="1020"/>
            <w:vAlign w:val="center"/>
          </w:tcPr>
          <w:p>
            <w:pPr>
              <w:pStyle w:val="TableText"/>
              <w:keepNext/>
              <w:jc w:val="center"/>
            </w:pPr>
            <w:r>
              <w:rPr>
                <w:sz w:val="20"/>
              </w:rPr>
              <w:t>5 (4)</w:t>
            </w:r>
          </w:p>
        </w:tc>
        <w:tc>
          <w:tcPr>
            <w:tcW w:type="dxa" w:w="850"/>
            <w:vAlign w:val="center"/>
          </w:tcPr>
          <w:p>
            <w:pPr>
              <w:pStyle w:val="TableText"/>
              <w:keepNext/>
              <w:jc w:val="center"/>
            </w:pPr>
            <w:r>
              <w:rPr>
                <w:sz w:val="20"/>
              </w:rPr>
              <w:t>70</w:t>
            </w:r>
          </w:p>
        </w:tc>
        <w:tc>
          <w:tcPr>
            <w:tcW w:type="dxa" w:w="907"/>
            <w:vAlign w:val="center"/>
          </w:tcPr>
          <w:p>
            <w:pPr>
              <w:pStyle w:val="TableText"/>
              <w:keepNext/>
              <w:jc w:val="center"/>
            </w:pPr>
            <w:r>
              <w:rPr>
                <w:sz w:val="20"/>
              </w:rPr>
              <w:t>403</w:t>
            </w:r>
          </w:p>
        </w:tc>
      </w:tr>
      <w:tr>
        <w:trPr>
          <w:cantSplit/>
        </w:trPr>
        <w:tc>
          <w:tcPr>
            <w:tcW w:type="dxa" w:w="680"/>
            <w:vAlign w:val="center"/>
          </w:tcPr>
          <w:p>
            <w:pPr>
              <w:pStyle w:val="TableText"/>
              <w:jc w:val="center"/>
            </w:pPr>
            <w:r>
              <w:rPr>
                <w:sz w:val="20"/>
              </w:rPr>
              <w:t>270</w:t>
            </w:r>
          </w:p>
        </w:tc>
        <w:tc>
          <w:tcPr>
            <w:tcW w:type="dxa" w:w="794"/>
            <w:vAlign w:val="center"/>
          </w:tcPr>
          <w:p>
            <w:pPr>
              <w:pStyle w:val="TableText"/>
              <w:jc w:val="center"/>
            </w:pPr>
            <w:r>
              <w:rPr>
                <w:sz w:val="20"/>
              </w:rPr>
              <w:t>5,8</w:t>
            </w:r>
          </w:p>
        </w:tc>
        <w:tc>
          <w:tcPr>
            <w:tcW w:type="dxa" w:w="1134"/>
            <w:vAlign w:val="center"/>
          </w:tcPr>
          <w:p>
            <w:pPr>
              <w:pStyle w:val="TableText"/>
              <w:jc w:val="center"/>
            </w:pPr>
            <w:r>
              <w:rPr>
                <w:sz w:val="20"/>
              </w:rPr>
              <w:t>992</w:t>
            </w:r>
          </w:p>
        </w:tc>
        <w:tc>
          <w:tcPr>
            <w:tcW w:type="dxa" w:w="1020"/>
            <w:vAlign w:val="center"/>
          </w:tcPr>
          <w:p>
            <w:pPr>
              <w:pStyle w:val="TableText"/>
              <w:jc w:val="center"/>
            </w:pPr>
            <w:r>
              <w:rPr>
                <w:sz w:val="20"/>
              </w:rPr>
              <w:t>1,25</w:t>
            </w:r>
          </w:p>
        </w:tc>
        <w:tc>
          <w:tcPr>
            <w:tcW w:type="dxa" w:w="907"/>
            <w:vAlign w:val="center"/>
          </w:tcPr>
          <w:p>
            <w:pPr>
              <w:pStyle w:val="TableText"/>
              <w:jc w:val="center"/>
            </w:pPr>
            <w:r>
              <w:rPr>
                <w:sz w:val="20"/>
              </w:rPr>
              <w:t>−50</w:t>
            </w:r>
          </w:p>
        </w:tc>
        <w:tc>
          <w:tcPr>
            <w:tcW w:type="dxa" w:w="794"/>
            <w:vAlign w:val="center"/>
          </w:tcPr>
          <w:p>
            <w:pPr>
              <w:pStyle w:val="TableText"/>
              <w:jc w:val="center"/>
            </w:pPr>
            <w:r>
              <w:rPr>
                <w:sz w:val="20"/>
              </w:rPr>
              <w:t>36</w:t>
            </w:r>
          </w:p>
        </w:tc>
        <w:tc>
          <w:tcPr>
            <w:tcW w:type="dxa" w:w="794"/>
            <w:vAlign w:val="center"/>
          </w:tcPr>
          <w:p>
            <w:pPr>
              <w:pStyle w:val="TableText"/>
              <w:jc w:val="center"/>
            </w:pPr>
            <w:r>
              <w:rPr>
                <w:sz w:val="20"/>
              </w:rPr>
              <w:t>1</w:t>
            </w:r>
          </w:p>
        </w:tc>
        <w:tc>
          <w:tcPr>
            <w:tcW w:type="dxa" w:w="1020"/>
            <w:vAlign w:val="center"/>
          </w:tcPr>
          <w:p>
            <w:pPr>
              <w:pStyle w:val="TableText"/>
              <w:jc w:val="center"/>
            </w:pPr>
            <w:r>
              <w:rPr>
                <w:sz w:val="20"/>
              </w:rPr>
              <w:t>4 (4)</w:t>
            </w:r>
          </w:p>
        </w:tc>
        <w:tc>
          <w:tcPr>
            <w:tcW w:type="dxa" w:w="850"/>
            <w:vAlign w:val="center"/>
          </w:tcPr>
          <w:p>
            <w:pPr>
              <w:pStyle w:val="TableText"/>
              <w:jc w:val="center"/>
            </w:pPr>
            <w:r>
              <w:rPr>
                <w:sz w:val="20"/>
              </w:rPr>
              <w:t>68</w:t>
            </w:r>
          </w:p>
        </w:tc>
        <w:tc>
          <w:tcPr>
            <w:tcW w:type="dxa" w:w="907"/>
            <w:vAlign w:val="center"/>
          </w:tcPr>
          <w:p>
            <w:pPr>
              <w:pStyle w:val="TableText"/>
              <w:jc w:val="center"/>
            </w:pPr>
            <w:r>
              <w:rPr>
                <w:sz w:val="20"/>
              </w:rPr>
              <w:t>378</w:t>
            </w:r>
          </w:p>
        </w:tc>
      </w:tr>
    </w:tbl>
    <w:p>
      <w:pPr>
        <w:spacing w:line="240" w:lineRule="auto"/>
      </w:pPr>
    </w:p>
    <w:p>
      <w:r>
        <w:t>Связь характеризуется двумя величинами, которые считаются раздельно. Вероятность установления связи — доля включений питания, после которых связь установилась. Удержание связи — доля секунд опыта, в которые связь была установлена (доля, а не число секунд, — чтобы сравнивать опыты разной длительности); её дают отметки подключения в ежесекундной записи программы просмотра (строка «Время на связи» в таблице 3.1).</w:t>
      </w:r>
    </w:p>
    <w:p>
      <w:r>
        <w:rPr>
          <w:b/>
        </w:rPr>
        <w:t xml:space="preserve">Граница связи. </w:t>
      </w:r>
      <w:r>
        <w:t>Плата с камерой неподвижна, приёмник удаляется от неё по трассе прямой видимости, и потери на трассе растут. Обе технологии испытываются на одних и тех же положениях приёмника и на разрешённом пределе мощности: Wi-Fi HaLow — 14 дБм на обоих узлах (у камеры — регулятор с пределом 14 дБм), Wi-Fi 2,4 ГГц — 20 дБм. В каждом положении опыт длится 5 мин, первые 30 с не учитываются: в это время модуль принимает команды настройки, устанавливается связь и регулятор мощности выходит на рабочий уровень. В каждом положении фиксируются расстояние и потери на трассе, которые определяются по уровню сигнала приёмника, измеренному у камеры: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r>
                <w:rPr>
                  <w:rFonts w:ascii="Cambria Math" w:hAnsi="Cambria Math"/>
                </w:rPr>
                <m:t xml:space="preserve">L</m:t>
              </m:r>
              <m:r>
                <m:rPr>
                  <m:sty m:val="p"/>
                </m:rPr>
                <w:rPr>
                  <w:rFonts w:ascii="Cambria Math" w:hAnsi="Cambria Math"/>
                </w:rPr>
                <m:t xml:space="preserve"> = </m:t>
              </m:r>
              <m:sSub>
                <m:e>
                  <m:r>
                    <w:rPr>
                      <w:rFonts w:ascii="Cambria Math" w:hAnsi="Cambria Math"/>
                    </w:rPr>
                    <m:t xml:space="preserve">P</m:t>
                  </m:r>
                </m:e>
                <m:sub>
                  <m:r>
                    <m:rPr>
                      <m:sty m:val="p"/>
                    </m:rP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P</m:t>
                  </m:r>
                </m:e>
                <m:sub>
                  <m:r>
                    <m:rPr>
                      <m:sty m:val="p"/>
                    </m:rPr>
                    <w:rPr>
                      <w:rFonts w:ascii="Cambria Math" w:hAnsi="Cambria Math"/>
                    </w:rPr>
                    <m:t xml:space="preserve">r</m:t>
                  </m:r>
                </m:sub>
              </m:sSub>
              <m:r>
                <m:rPr>
                  <m:sty m:val="p"/>
                </m:rPr>
                <w:rPr>
                  <w:rFonts w:ascii="Cambria Math" w:hAnsi="Cambria Math"/>
                </w:rPr>
                <m:t xml:space="preserve">,</m:t>
              </m:r>
            </m:oMath>
          </w:p>
        </w:tc>
        <w:tc>
          <w:tcPr>
            <w:tcW w:type="dxa" w:w="1020"/>
            <w:vAlign w:val="center"/>
          </w:tcPr>
          <w:p>
            <w:pPr>
              <w:pStyle w:val="Formula"/>
              <w:jc w:val="right"/>
            </w:pPr>
            <w:r>
              <w:t>(2.6)</w:t>
            </w:r>
          </w:p>
        </w:tc>
      </w:tr>
    </w:tbl>
    <w:p>
      <w:pPr>
        <w:ind w:firstLine="0"/>
      </w:pPr>
      <w:r>
        <w:t xml:space="preserve">где </w:t>
      </w:r>
      <w:r>
        <w:t>Pₜ — мощность передатчика приёмника (14 или 20 дБм); Pᵣ — уровень его сигнала у платы с камерой, дБм. В L входят и потери антенн плат, поэтому результат относится к данной паре плат.</w:t>
      </w:r>
    </w:p>
    <w:p>
      <w:r>
        <w:t>Для каждой технологии фиксируются расстояние и потери, при которых наступает одно и то же состояние связи: видео передаётся; видео прекращается, а связь сохраняется; связь обрывается. Технологии сравниваются по одинаковым состояниям.</w:t>
      </w:r>
    </w:p>
    <w:p>
      <w:r>
        <w:rPr>
          <w:b/>
        </w:rPr>
        <w:t xml:space="preserve">Достоверная мера пропускной способности. </w:t>
      </w:r>
      <w:r>
        <w:t>Объём переданных байтов в секунду искажается, если видеокадры раздуты повреждением: повреждённый видеокадр плохо сжимается и становится крупнее при худшей картинке. На стенде один и тот же сюжет давал видеокадр 5032 Б при исправном захвате и 6750 Б при повреждённом, и скорость в байтах при этом росла. Поэтому полезная скорость приводится вместе с потерями видеокадров и долей видеокадров с искажением захвата. Искажённые видеокадры камера определяет сама, до сжатия: строка изображения считается «съехавшей», если при чтении со сдвигом на один байт соседние точки различаются по цвету заметно меньше, чем при обычном чтении (подраздел 3.5). Сравнение вариантов выполняется при одинаковых правилах управления качеством.</w:t>
      </w:r>
    </w:p>
    <w:p>
      <w:r>
        <w:rPr>
          <w:b/>
        </w:rPr>
        <w:t xml:space="preserve">Условия сравнения. </w:t>
      </w:r>
      <w:r>
        <w:t>Даже на неизменной трассе 5 м через стену скорость канала в течение суток меняется в 2–3 раза: при одной и той же настройке синтетический поток за один вечер менялся от 302 до 590 кбит/с, а видео в одной точке давало 600–700 кбит/с днём и 228 кбит/с ночью. Если сравнивать варианты в разное время, разница в канале перекроет эффект доработки. Поэтому варианты сравниваются в одном включении питания: стенд поочерёдно переключается между ними каждые 1–2 мин, обычно в четыре этапа «без доработки — с доработкой — без — с». Чередование компенсирует медленный дрейф канала: каждый вариант попадает и в начало, и в конец опыта. Четыре этапа — наименьшее число, при котором каждый вариант проходится дважды; при большем числе опыт удлиняется, и канал за это время уходит сильнее. Первые 10 с каждого этапа не учитываются: после переключения очереди и управление качеством выходят на новый режим. Разница меньше 20 % значимой не считается: настолько расходились между собой два этапа одного и того же варианта. Кроме того, модуль принимает команды настройки только в первые 30 с после включения питания (подраздел 2.6), поэтому опыт засчитывается, только если журнал подтверждает, что настройки применились.</w:t>
      </w:r>
    </w:p>
    <w:p>
      <w:r>
        <w:rPr>
          <w:b/>
        </w:rPr>
        <w:t xml:space="preserve">Статистическая обработка. </w:t>
      </w:r>
      <w:r>
        <w:t>Канал стохастичен, поэтому каждая точка измеряется с повторами. Необходимое число повторов определяется по пилотному замеру — короткой предварительной серии замеров одного варианта, по которой оценивается разброс:</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r>
                <w:rPr>
                  <w:rFonts w:ascii="Cambria Math" w:hAnsi="Cambria Math"/>
                </w:rPr>
                <m:t xml:space="preserve">n</m:t>
              </m:r>
              <m:r>
                <m:rPr>
                  <m:sty m:val="p"/>
                </m:rPr>
                <w:rPr>
                  <w:rFonts w:ascii="Cambria Math" w:hAnsi="Cambria Math"/>
                </w:rPr>
                <m:t xml:space="preserve"> = </m:t>
              </m:r>
              <m:sSup>
                <m:e>
                  <m:d>
                    <m:e>
                      <m:f>
                        <m:num>
                          <m:r>
                            <w:rPr>
                              <w:rFonts w:ascii="Cambria Math" w:hAnsi="Cambria Math"/>
                            </w:rPr>
                            <m:t xml:space="preserve">t</m:t>
                          </m:r>
                          <m:r>
                            <w:rPr>
                              <w:rFonts w:ascii="Cambria Math" w:hAnsi="Cambria Math"/>
                            </w:rPr>
                            <m:t xml:space="preserve">σ</m:t>
                          </m:r>
                        </m:num>
                        <m:den>
                          <m:r>
                            <w:rPr>
                              <w:rFonts w:ascii="Cambria Math" w:hAnsi="Cambria Math"/>
                            </w:rPr>
                            <m:t xml:space="preserve">E</m:t>
                          </m:r>
                        </m:den>
                      </m:f>
                    </m:e>
                  </m:d>
                </m:e>
                <m:sup>
                  <m:r>
                    <m:rPr>
                      <m:sty m:val="p"/>
                    </m:rPr>
                    <w:rPr>
                      <w:rFonts w:ascii="Cambria Math" w:hAnsi="Cambria Math"/>
                    </w:rPr>
                    <m:t xml:space="preserve">2</m:t>
                  </m:r>
                </m:sup>
              </m:sSup>
              <m:r>
                <m:rPr>
                  <m:sty m:val="p"/>
                </m:rPr>
                <w:rPr>
                  <w:rFonts w:ascii="Cambria Math" w:hAnsi="Cambria Math"/>
                </w:rPr>
                <m:t xml:space="preserve">,</m:t>
              </m:r>
            </m:oMath>
          </w:p>
        </w:tc>
        <w:tc>
          <w:tcPr>
            <w:tcW w:type="dxa" w:w="1020"/>
            <w:vAlign w:val="center"/>
          </w:tcPr>
          <w:p>
            <w:pPr>
              <w:pStyle w:val="Formula"/>
              <w:jc w:val="right"/>
            </w:pPr>
            <w:r>
              <w:t>(2.7)</w:t>
            </w:r>
          </w:p>
        </w:tc>
      </w:tr>
    </w:tbl>
    <w:p>
      <w:pPr>
        <w:ind w:firstLine="0"/>
      </w:pPr>
      <w:r>
        <w:t xml:space="preserve">где </w:t>
      </w:r>
      <w:r>
        <w:t>t — коэффициент Стьюдента; σ — среднеквадратичное отклонение по пилотному замеру; E — допустимая погрешность оценки среднего.</w:t>
      </w:r>
    </w:p>
    <w:p>
      <w:r>
        <w:t>Точность оценки среднего характеризует доверительный интервал с вероятностью 0,95</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bar>
                <m:barPr>
                  <m:pos m:val="top"/>
                </m:barPr>
                <m:e>
                  <m:r>
                    <w:rPr>
                      <w:rFonts w:ascii="Cambria Math" w:hAnsi="Cambria Math"/>
                    </w:rPr>
                    <m:t xml:space="preserve">x</m:t>
                  </m:r>
                </m:e>
              </m:bar>
              <m:r>
                <m:rPr>
                  <m:sty m:val="p"/>
                </m:rPr>
                <w:rPr>
                  <w:rFonts w:ascii="Cambria Math" w:hAnsi="Cambria Math"/>
                </w:rPr>
                <m:t xml:space="preserve"> ± </m:t>
              </m:r>
              <m:f>
                <m:num>
                  <m:r>
                    <w:rPr>
                      <w:rFonts w:ascii="Cambria Math" w:hAnsi="Cambria Math"/>
                    </w:rPr>
                    <m:t xml:space="preserve">t</m:t>
                  </m:r>
                  <m:r>
                    <w:rPr>
                      <w:rFonts w:ascii="Cambria Math" w:hAnsi="Cambria Math"/>
                    </w:rPr>
                    <m:t xml:space="preserve">s</m:t>
                  </m:r>
                </m:num>
                <m:den>
                  <m:rad>
                    <m:radPr>
                      <m:degHide m:val="1"/>
                    </m:radPr>
                    <m:deg/>
                    <m:e>
                      <m:r>
                        <w:rPr>
                          <w:rFonts w:ascii="Cambria Math" w:hAnsi="Cambria Math"/>
                        </w:rPr>
                        <m:t xml:space="preserve">n</m:t>
                      </m:r>
                    </m:e>
                  </m:rad>
                </m:den>
              </m:f>
              <m:r>
                <m:rPr>
                  <m:sty m:val="p"/>
                </m:rPr>
                <w:rPr>
                  <w:rFonts w:ascii="Cambria Math" w:hAnsi="Cambria Math"/>
                </w:rPr>
                <m:t xml:space="preserve">,</m:t>
              </m:r>
            </m:oMath>
          </w:p>
        </w:tc>
        <w:tc>
          <w:tcPr>
            <w:tcW w:type="dxa" w:w="1020"/>
            <w:vAlign w:val="center"/>
          </w:tcPr>
          <w:p>
            <w:pPr>
              <w:pStyle w:val="Formula"/>
              <w:jc w:val="right"/>
            </w:pPr>
            <w:r>
              <w:t>(2.8)</w:t>
            </w:r>
          </w:p>
        </w:tc>
      </w:tr>
    </w:tbl>
    <w:p>
      <w:pPr>
        <w:ind w:firstLine="0"/>
      </w:pPr>
      <w:r>
        <w:t xml:space="preserve">где </w:t>
      </w:r>
      <w:r>
        <w:t>x̄ — выборочное среднее; s — выборочное среднеквадратичное отклонение; n — число повторов.</w:t>
      </w:r>
    </w:p>
    <w:p>
      <w:pPr>
        <w:pStyle w:val="Heading2"/>
      </w:pPr>
      <w:r>
        <w:t>2.5 Выбор аппаратных средств</w:t>
      </w:r>
    </w:p>
    <w:p>
      <w:r>
        <w:t xml:space="preserve">На рынке найдено пять вариантов оборудования Wi-Fi HaLow (таблица </w:t>
      </w:r>
      <w:r>
        <w:t>2.5</w:t>
      </w:r>
      <w:r>
        <w:t>).</w:t>
      </w:r>
    </w:p>
    <w:p>
      <w:pPr>
        <w:pStyle w:val="TableCaption"/>
        <w:ind w:firstLine="0"/>
      </w:pPr>
      <w:r>
        <w:t>Таблица 2.5 – Оборудование Wi-Fi HaLow, доступное для исследования</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2267"/>
        <w:gridCol w:w="2040"/>
        <w:gridCol w:w="3118"/>
        <w:gridCol w:w="1927"/>
      </w:tblGrid>
      <w:tr>
        <w:trPr>
          <w:cantSplit/>
          <w:tblHeader w:val="true"/>
        </w:trPr>
        <w:tc>
          <w:tcPr>
            <w:tcW w:type="dxa" w:w="2268"/>
            <w:vAlign w:val="center"/>
          </w:tcPr>
          <w:p>
            <w:pPr>
              <w:pStyle w:val="TableText"/>
              <w:keepNext/>
              <w:jc w:val="center"/>
            </w:pPr>
            <w:r>
              <w:rPr>
                <w:b/>
                <w:sz w:val="22"/>
              </w:rPr>
              <w:t>Платформа</w:t>
            </w:r>
          </w:p>
        </w:tc>
        <w:tc>
          <w:tcPr>
            <w:tcW w:type="dxa" w:w="2041"/>
            <w:vAlign w:val="center"/>
          </w:tcPr>
          <w:p>
            <w:pPr>
              <w:pStyle w:val="TableText"/>
              <w:keepNext/>
              <w:jc w:val="center"/>
            </w:pPr>
            <w:r>
              <w:rPr>
                <w:b/>
                <w:sz w:val="22"/>
              </w:rPr>
              <w:t>Чипсет</w:t>
            </w:r>
          </w:p>
        </w:tc>
        <w:tc>
          <w:tcPr>
            <w:tcW w:type="dxa" w:w="3118"/>
            <w:vAlign w:val="center"/>
          </w:tcPr>
          <w:p>
            <w:pPr>
              <w:pStyle w:val="TableText"/>
              <w:keepNext/>
              <w:jc w:val="center"/>
            </w:pPr>
            <w:r>
              <w:rPr>
                <w:b/>
                <w:sz w:val="22"/>
              </w:rPr>
              <w:t>Исполнение</w:t>
            </w:r>
          </w:p>
        </w:tc>
        <w:tc>
          <w:tcPr>
            <w:tcW w:type="dxa" w:w="1928"/>
            <w:vAlign w:val="center"/>
          </w:tcPr>
          <w:p>
            <w:pPr>
              <w:pStyle w:val="TableText"/>
              <w:keepNext/>
              <w:jc w:val="center"/>
            </w:pPr>
            <w:r>
              <w:rPr>
                <w:b/>
                <w:sz w:val="22"/>
              </w:rPr>
              <w:t>Цена узла, руб.</w:t>
            </w:r>
          </w:p>
        </w:tc>
      </w:tr>
      <w:tr>
        <w:trPr>
          <w:cantSplit/>
        </w:trPr>
        <w:tc>
          <w:tcPr>
            <w:tcW w:type="dxa" w:w="2268"/>
            <w:vAlign w:val="center"/>
          </w:tcPr>
          <w:p>
            <w:pPr>
              <w:pStyle w:val="TableText"/>
              <w:keepNext/>
              <w:jc w:val="left"/>
            </w:pPr>
            <w:r>
              <w:rPr>
                <w:sz w:val="22"/>
              </w:rPr>
              <w:t>LilyGO T-HaLow V1.0 [30]</w:t>
            </w:r>
          </w:p>
        </w:tc>
        <w:tc>
          <w:tcPr>
            <w:tcW w:type="dxa" w:w="2041"/>
            <w:vAlign w:val="center"/>
          </w:tcPr>
          <w:p>
            <w:pPr>
              <w:pStyle w:val="TableText"/>
              <w:keepNext/>
              <w:jc w:val="left"/>
            </w:pPr>
            <w:r>
              <w:rPr>
                <w:sz w:val="22"/>
              </w:rPr>
              <w:t>Taixin TX-AH-R900P</w:t>
            </w:r>
          </w:p>
        </w:tc>
        <w:tc>
          <w:tcPr>
            <w:tcW w:type="dxa" w:w="3118"/>
            <w:vAlign w:val="center"/>
          </w:tcPr>
          <w:p>
            <w:pPr>
              <w:pStyle w:val="TableText"/>
              <w:keepNext/>
              <w:jc w:val="left"/>
            </w:pPr>
            <w:r>
              <w:rPr>
                <w:sz w:val="22"/>
              </w:rPr>
              <w:t>законченная плата: ESP32-S3, разъём камеры, Ethernet, держатель аккумулятора 18650</w:t>
            </w:r>
          </w:p>
        </w:tc>
        <w:tc>
          <w:tcPr>
            <w:tcW w:type="dxa" w:w="1928"/>
            <w:vAlign w:val="center"/>
          </w:tcPr>
          <w:p>
            <w:pPr>
              <w:pStyle w:val="TableText"/>
              <w:keepNext/>
              <w:jc w:val="left"/>
            </w:pPr>
            <w:r>
              <w:rPr>
                <w:sz w:val="22"/>
              </w:rPr>
              <w:t>3 198</w:t>
            </w:r>
          </w:p>
        </w:tc>
      </w:tr>
      <w:tr>
        <w:trPr>
          <w:cantSplit/>
        </w:trPr>
        <w:tc>
          <w:tcPr>
            <w:tcW w:type="dxa" w:w="2268"/>
            <w:vAlign w:val="center"/>
          </w:tcPr>
          <w:p>
            <w:pPr>
              <w:pStyle w:val="TableText"/>
              <w:keepNext/>
              <w:jc w:val="left"/>
            </w:pPr>
            <w:r>
              <w:rPr>
                <w:sz w:val="22"/>
              </w:rPr>
              <w:t>Heltec HT-HC32 [31, 32]</w:t>
            </w:r>
          </w:p>
        </w:tc>
        <w:tc>
          <w:tcPr>
            <w:tcW w:type="dxa" w:w="2041"/>
            <w:vAlign w:val="center"/>
          </w:tcPr>
          <w:p>
            <w:pPr>
              <w:pStyle w:val="TableText"/>
              <w:keepNext/>
              <w:jc w:val="left"/>
            </w:pPr>
            <w:r>
              <w:rPr>
                <w:sz w:val="22"/>
              </w:rPr>
              <w:t>Morse Micro MM6108 [33]</w:t>
            </w:r>
          </w:p>
        </w:tc>
        <w:tc>
          <w:tcPr>
            <w:tcW w:type="dxa" w:w="3118"/>
            <w:vAlign w:val="center"/>
          </w:tcPr>
          <w:p>
            <w:pPr>
              <w:pStyle w:val="TableText"/>
              <w:keepNext/>
              <w:jc w:val="left"/>
            </w:pPr>
            <w:r>
              <w:rPr>
                <w:sz w:val="22"/>
              </w:rPr>
              <w:t>законченная плата: ESP32-S3, камера, разъём аккумулятора</w:t>
            </w:r>
          </w:p>
        </w:tc>
        <w:tc>
          <w:tcPr>
            <w:tcW w:type="dxa" w:w="1928"/>
            <w:vAlign w:val="center"/>
          </w:tcPr>
          <w:p>
            <w:pPr>
              <w:pStyle w:val="TableText"/>
              <w:keepNext/>
              <w:jc w:val="left"/>
            </w:pPr>
            <w:r>
              <w:rPr>
                <w:sz w:val="22"/>
              </w:rPr>
              <w:t>1 928–3 780</w:t>
            </w:r>
          </w:p>
        </w:tc>
      </w:tr>
      <w:tr>
        <w:trPr>
          <w:cantSplit/>
        </w:trPr>
        <w:tc>
          <w:tcPr>
            <w:tcW w:type="dxa" w:w="2268"/>
            <w:vAlign w:val="center"/>
          </w:tcPr>
          <w:p>
            <w:pPr>
              <w:pStyle w:val="TableText"/>
              <w:keepNext/>
              <w:jc w:val="left"/>
            </w:pPr>
            <w:r>
              <w:rPr>
                <w:sz w:val="22"/>
              </w:rPr>
              <w:t>ALFA Network AHPI7292S [34]</w:t>
            </w:r>
          </w:p>
        </w:tc>
        <w:tc>
          <w:tcPr>
            <w:tcW w:type="dxa" w:w="2041"/>
            <w:vAlign w:val="center"/>
          </w:tcPr>
          <w:p>
            <w:pPr>
              <w:pStyle w:val="TableText"/>
              <w:keepNext/>
              <w:jc w:val="left"/>
            </w:pPr>
            <w:r>
              <w:rPr>
                <w:sz w:val="22"/>
              </w:rPr>
              <w:t>Newracom NRC7292</w:t>
            </w:r>
          </w:p>
        </w:tc>
        <w:tc>
          <w:tcPr>
            <w:tcW w:type="dxa" w:w="3118"/>
            <w:vAlign w:val="center"/>
          </w:tcPr>
          <w:p>
            <w:pPr>
              <w:pStyle w:val="TableText"/>
              <w:keepNext/>
              <w:jc w:val="left"/>
            </w:pPr>
            <w:r>
              <w:rPr>
                <w:sz w:val="22"/>
              </w:rPr>
              <w:t>плата расширения, требуется управляющий компьютер Raspberry Pi</w:t>
            </w:r>
          </w:p>
        </w:tc>
        <w:tc>
          <w:tcPr>
            <w:tcW w:type="dxa" w:w="1928"/>
            <w:vAlign w:val="center"/>
          </w:tcPr>
          <w:p>
            <w:pPr>
              <w:pStyle w:val="TableText"/>
              <w:keepNext/>
              <w:jc w:val="left"/>
            </w:pPr>
            <w:r>
              <w:rPr>
                <w:sz w:val="22"/>
              </w:rPr>
              <w:t>5 723 без управляющего компьютера</w:t>
            </w:r>
          </w:p>
        </w:tc>
      </w:tr>
      <w:tr>
        <w:trPr>
          <w:cantSplit/>
        </w:trPr>
        <w:tc>
          <w:tcPr>
            <w:tcW w:type="dxa" w:w="2268"/>
            <w:vAlign w:val="center"/>
          </w:tcPr>
          <w:p>
            <w:pPr>
              <w:pStyle w:val="TableText"/>
              <w:keepNext/>
              <w:jc w:val="left"/>
            </w:pPr>
            <w:r>
              <w:rPr>
                <w:sz w:val="22"/>
              </w:rPr>
              <w:t>Newracom NRC7292 EVK, NRC7394 EVK [35, 36]</w:t>
            </w:r>
          </w:p>
        </w:tc>
        <w:tc>
          <w:tcPr>
            <w:tcW w:type="dxa" w:w="2041"/>
            <w:vAlign w:val="center"/>
          </w:tcPr>
          <w:p>
            <w:pPr>
              <w:pStyle w:val="TableText"/>
              <w:keepNext/>
              <w:jc w:val="left"/>
            </w:pPr>
            <w:r>
              <w:rPr>
                <w:sz w:val="22"/>
              </w:rPr>
              <w:t>Newracom NRC7292 / NRC7394</w:t>
            </w:r>
          </w:p>
        </w:tc>
        <w:tc>
          <w:tcPr>
            <w:tcW w:type="dxa" w:w="3118"/>
            <w:vAlign w:val="center"/>
          </w:tcPr>
          <w:p>
            <w:pPr>
              <w:pStyle w:val="TableText"/>
              <w:keepNext/>
              <w:jc w:val="left"/>
            </w:pPr>
            <w:r>
              <w:rPr>
                <w:sz w:val="22"/>
              </w:rPr>
              <w:t>оценочные комплекты производителя</w:t>
            </w:r>
          </w:p>
        </w:tc>
        <w:tc>
          <w:tcPr>
            <w:tcW w:type="dxa" w:w="1928"/>
            <w:vAlign w:val="center"/>
          </w:tcPr>
          <w:p>
            <w:pPr>
              <w:pStyle w:val="TableText"/>
              <w:keepNext/>
              <w:jc w:val="left"/>
            </w:pPr>
            <w:r>
              <w:rPr>
                <w:sz w:val="22"/>
              </w:rPr>
              <w:t>по запросу</w:t>
            </w:r>
          </w:p>
        </w:tc>
      </w:tr>
      <w:tr>
        <w:trPr>
          <w:cantSplit/>
        </w:trPr>
        <w:tc>
          <w:tcPr>
            <w:tcW w:type="dxa" w:w="2268"/>
            <w:vAlign w:val="center"/>
          </w:tcPr>
          <w:p>
            <w:pPr>
              <w:pStyle w:val="TableText"/>
              <w:jc w:val="left"/>
            </w:pPr>
            <w:r>
              <w:rPr>
                <w:sz w:val="22"/>
              </w:rPr>
              <w:t>Morse Micro MM6108-EKH05 [37]</w:t>
            </w:r>
          </w:p>
        </w:tc>
        <w:tc>
          <w:tcPr>
            <w:tcW w:type="dxa" w:w="2041"/>
            <w:vAlign w:val="center"/>
          </w:tcPr>
          <w:p>
            <w:pPr>
              <w:pStyle w:val="TableText"/>
              <w:jc w:val="left"/>
            </w:pPr>
            <w:r>
              <w:rPr>
                <w:sz w:val="22"/>
              </w:rPr>
              <w:t>Morse Micro MM6108</w:t>
            </w:r>
          </w:p>
        </w:tc>
        <w:tc>
          <w:tcPr>
            <w:tcW w:type="dxa" w:w="3118"/>
            <w:vAlign w:val="center"/>
          </w:tcPr>
          <w:p>
            <w:pPr>
              <w:pStyle w:val="TableText"/>
              <w:jc w:val="left"/>
            </w:pPr>
            <w:r>
              <w:rPr>
                <w:sz w:val="22"/>
              </w:rPr>
              <w:t>оценочный комплект производителя (управляющий микроконтроллер STM32U585)</w:t>
            </w:r>
          </w:p>
        </w:tc>
        <w:tc>
          <w:tcPr>
            <w:tcW w:type="dxa" w:w="1928"/>
            <w:vAlign w:val="center"/>
          </w:tcPr>
          <w:p>
            <w:pPr>
              <w:pStyle w:val="TableText"/>
              <w:jc w:val="left"/>
            </w:pPr>
            <w:r>
              <w:rPr>
                <w:sz w:val="22"/>
              </w:rPr>
              <w:t>39 620</w:t>
            </w:r>
          </w:p>
        </w:tc>
      </w:tr>
    </w:tbl>
    <w:p>
      <w:pPr>
        <w:spacing w:line="240" w:lineRule="auto"/>
      </w:pPr>
    </w:p>
    <w:p>
      <w:r>
        <w:t>Выбрана плата LilyGO T-HaLow. Она дешевле плат расширения и оценочных комплектов в 1,8–12,4 раза и является законченным узлом удалённого объекта: на одной плате находятся процессор, радиомодуль Wi-Fi HaLow, разъём камеры и держатель аккумулятора. Для этих вариантов процессор и камеру пришлось бы добавлять и связывать отдельно. Той же компоновки и сопоставимой цены только плата Heltec HT-HC32. Выбор в пользу T-HaLow сделан по двум причинам. Во-первых, на ней есть держатель аккумулятора 18650 и порт Ethernet, что упрощает автономные полевые испытания. Во-вторых, для радиомодуля TX-AH производитель открыто публикует комплект разработки встроенной программы, и сам радиомодуль можно дорабатывать — это и было сделано (разделы 3.3 и 3.4); у радиомодуля Morse Micro платы Heltec встроенная программа закрыта. Для стенда используются две платы: передатчик с камерой (бортовой узел) и приёмник (наземный пункт).</w:t>
      </w:r>
    </w:p>
    <w:p>
      <w:r>
        <w:t>Плата построена на модуле ESP32-S3-WROOM-1-N16R8 (два ядра Xtensa LX7 до 240 МГц, 16 МБ флеш-памяти, 8 МБ PSRAM, встроенный Wi-Fi 2,4 ГГц стандарта IEEE 802.11b/g/n) [21] и радиомодуле Wi-Fi HaLow Taixin TX-AH-R900P диапазона 859–894 МГц (далее — модуль). Камера OV5640 подключается шлейфом по параллельному интерфейсу DVP; на плате есть также разъём microSD и порт Ethernet, подключённый к модулю.</w:t>
      </w:r>
    </w:p>
    <w:p>
      <w:r>
        <w:t>По принципиальной схеме платы [38] модуль связан с процессором только двумя линиями последовательного интерфейса UART — без линий управления потоком и без интерфейса SPI. Все данные между процессором и радиоканалом проходят через этот интерфейс; в главе 3 показано, что он задаёт архитектурный предел пропускной способности платформы.</w:t>
      </w:r>
    </w:p>
    <w:p>
      <w:r>
        <w:t>Микроконтроллер ESP32-S3 — система на кристалле: помимо процессорных ядер он содержит приёмопередатчик Wi-Fi 2,4 ГГц (IEEE 802.11b/g/n) и Bluetooth LE [21]. Поэтому на той же плате есть второй радиоканал, не зависящий от модуля TX-AH, и платформа пригодна для сравнения Wi-Fi HaLow с IEEE 802.11 на идентичной аппаратной части. В работе это сравнение выполнено измерением на трассе 5 м через стену и расчётом бюджета канала (раздел 3.7).</w:t>
      </w:r>
    </w:p>
    <w:p>
      <w:pPr>
        <w:pStyle w:val="Heading2"/>
      </w:pPr>
      <w:r>
        <w:t>2.6 Выбор и настройка программных средств</w:t>
      </w:r>
    </w:p>
    <w:p>
      <w:r>
        <w:t>Программное обеспечение стенда состоит из трёх частей:</w:t>
      </w:r>
    </w:p>
    <w:p>
      <w:r>
        <w:t xml:space="preserve">– </w:t>
      </w:r>
      <w:r>
        <w:t>программы процессора ESP32-S3 на языке C++ (платформа Arduino, arduino-esp32 2.0.9 на основе ESP-IDF 4.4, сборка средой PlatformIO). На плате камеры сенсор OV5640 только снимает кадр, а всё остальное делает процессор ESP32-S3: проверяет видеокадр, сжимает его, делит на фрагменты, добавляет контрольные фрагменты помехоустойчивого кода (раздел 3.4), досылает пропавшие фрагменты, управляет качеством сжатия и собирает показатели канала. Процессор платы приёмника передаёт принятые фрагменты в компьютер и отвечает камере квитанциями. Отдельная программа-загрузчик превращает процессор в мост USB — UART и позволяет записать встроенную программу в радиомодуль без программатора. Готовыми использованы драйвер камеры esp32-camera и программный кодер JPEG esp_new_jpeg 1.0.2;</w:t>
      </w:r>
    </w:p>
    <w:p>
      <w:r>
        <w:t xml:space="preserve">– </w:t>
      </w:r>
      <w:r>
        <w:t>встроенная программа радиомодуля на языке C — на основе комплекта разработки производителя (TXW8301 WNB 2.4.1.3, компилятор C-SKY). Модуль работает как прозрачный мост (режим uart_p2p): всё, что процессор платы передаёт ему по UART, он отправляет в эфир, а принятое из эфира возвращает по UART. В программу внесены изменения: ускорен приём по UART, чтобы модуль не терял данные на входе при скорости 3 Мбод; добавлен регулятор, который по отношению сигнал/шум держит мощность передатчика минимально достаточной, но не выше 14 дБм, — вблизи это убирает наводку на камеру, а на дальности даёт полную разрешённую мощность; добавлена нижняя граница модуляции по отношению сигнал/шум, которая при хорошем сигнале не даёт модулю опускаться при повторах на медленные MCS и тем повышает скорость; широковещательные кадры передаются на модуляции, выбранной по уровню сигнала, а не на самой медленной. Подробнее — в описании настройки ниже и в разделах 3.3 и 3.4;</w:t>
      </w:r>
    </w:p>
    <w:p>
      <w:r>
        <w:t xml:space="preserve">– </w:t>
      </w:r>
      <w:r>
        <w:t>программы компьютера на языке Python: программа просмотра halow_viewer.py (приём видеокадров из фрагментов, восстановление помехоустойчивым кодом, показ в браузере, запись показателей в CSV и видео в файл), запись программ в платы и модули, автоматическая проверка алгоритма восстановления видеокадров на записанных данных.</w:t>
      </w:r>
    </w:p>
    <w:p>
      <w:r>
        <w:t xml:space="preserve">Структурная схема стенда приведена на рисунке </w:t>
      </w:r>
      <w:r>
        <w:t>2.2</w:t>
      </w:r>
      <w:r>
        <w:t>.</w:t>
      </w:r>
    </w:p>
    <w:p>
      <w:pPr>
        <w:keepNext/>
        <w:ind w:firstLine="0"/>
        <w:jc w:val="center"/>
      </w:pPr>
      <w:r>
        <w:drawing>
          <wp:inline xmlns:a="http://schemas.openxmlformats.org/drawingml/2006/main" xmlns:pic="http://schemas.openxmlformats.org/drawingml/2006/picture">
            <wp:extent cx="5760000" cy="3375824"/>
            <wp:docPr id="3" name="Picture 3"/>
            <wp:cNvGraphicFramePr>
              <a:graphicFrameLocks noChangeAspect="1"/>
            </wp:cNvGraphicFramePr>
            <a:graphic>
              <a:graphicData uri="http://schemas.openxmlformats.org/drawingml/2006/picture">
                <pic:pic>
                  <pic:nvPicPr>
                    <pic:cNvPr id="0" name="fig_stand.png"/>
                    <pic:cNvPicPr/>
                  </pic:nvPicPr>
                  <pic:blipFill>
                    <a:blip r:embed="rId12"/>
                    <a:stretch>
                      <a:fillRect/>
                    </a:stretch>
                  </pic:blipFill>
                  <pic:spPr>
                    <a:xfrm>
                      <a:off x="0" y="0"/>
                      <a:ext cx="5760000" cy="3375824"/>
                    </a:xfrm>
                    <a:prstGeom prst="rect"/>
                  </pic:spPr>
                </pic:pic>
              </a:graphicData>
            </a:graphic>
          </wp:inline>
        </w:drawing>
      </w:r>
    </w:p>
    <w:p>
      <w:pPr>
        <w:ind w:firstLine="0"/>
        <w:jc w:val="center"/>
      </w:pPr>
      <w:r>
        <w:t>Рисунок 2.2 – Структурная схема стенда</w:t>
      </w:r>
    </w:p>
    <w:p>
      <w:r>
        <w:t>Камера снимает видеокадр 480 × 320 точек в формате RGB565 (если качество сжатия уже снижено до предела, а задержка квитанций продолжает расти, он программно уменьшается до 320 × 213 или 240 × 160, раздел 3.4), проверяет и при необходимости исправляет его (раздел 3.5), сжимает в JPEG двумя кодерами на двух ядрах и делит на фрагменты с полезной нагрузкой до 1400 Б. Фрагмент несёт прикладной заголовок 22 Б — номер и длину видеокадра, номер фрагмента и число фрагментов, длину нагрузки, контрольную сумму CRC16 всего видеокадра и флаги (контрольный фрагмент, досылка) — и служебное обрамление 7 Б: синхронизацию, тип, длину и CRC16 фрагмента. Всего на линии UART фрагмент занимает до 1429 Б. Захват, сжатие и передача выполняются параллельно в разных задачах.</w:t>
      </w:r>
    </w:p>
    <w:p>
      <w:r>
        <w:t>Модуль камеры работает в режиме точки доступа (AP), модуль приёмника — в режиме станции (STA). Так сделано потому, что почти весь поток идёт от камеры. Пока камера была станцией, видео проходило эфир дважды: камера передавала кадр точке доступа (приёмнику), а точка доступа по правилам сети Wi-Fi рассылала его ещё раз — на самой медленной модуляции. Когда точкой доступа стала камера, видео уходит приёмнику за одну передачу (раздел 3.4). Процессор приёмника передаёт принятые фрагменты по USB в компьютер, где программа просмотра составляет видеокадры из фрагментов, проверяет контрольные суммы, восстанавливает пропавшие фрагменты и показывает видео в браузере. На каждый видеокадр приёмник отправляет камере по обратному каналу квитанцию — какие фрагменты дошли; по квитанциям камера измеряет задержку, досылает пропавшие фрагменты и управляет качеством сжатия.</w:t>
      </w:r>
    </w:p>
    <w:p>
      <w:r>
        <w:rPr>
          <w:b/>
        </w:rPr>
        <w:t xml:space="preserve">Настройка. </w:t>
      </w:r>
      <w:r>
        <w:t>Приведение стенда в рабочее состояние потребовало решить ряд задач, каждая из которых проявлялась как «нет связи» или «плохая связь»:</w:t>
      </w:r>
    </w:p>
    <w:p>
      <w:r>
        <w:t>1) Порог занятости канала. Модуль перед передачей оценивает занятость эфира по уровню фона. Фон, который измерял модуль платы с камерой, оказался на 25–28 дБ выше, чем у платы приёмника, где камеры нет (−60 против −85…−88 дБм): шина DVP, память PSRAM и тактовый сигнал камеры электрически шумят. Приёмник со своим низким порогом считал канал занятым почти всегда, накапливал очередь и не успевал ответить на запрос подключения. Запас порога 20 дБ (команда AT+BGRSSI_MARGIN=20) устранил отказ; в итоговой версии он задаётся на обеих платах при каждом включении и действовал во всех опытах, включая измерение границы связи.</w:t>
      </w:r>
    </w:p>
    <w:p>
      <w:r>
        <w:t>2) Интервал настройки модуля. Команды настройки модуль принимает только в первые 30 с после включения питания; большинство настроек хранится в оперативной памяти, а запись новой программы в процессор модуль не перезапускает, поэтому после неё снимается питание с обеих плат.</w:t>
      </w:r>
    </w:p>
    <w:p>
      <w:r>
        <w:t>3) Канал. На лабораторном этапе использовался заводской канал 4 МГц с центром 866,0 МГц, выходящий за полосу ГКРЧ. Затем рабочим стал канал 2 МГц с центром 867,0 МГц: ширина и частота записываются во флеш-память обоих модулей при первом включении, мощность ограничена 14 дБм встроенной программой модуля.</w:t>
      </w:r>
    </w:p>
    <w:p>
      <w:r>
        <w:t>4) Роли и протокол доступа. Модуль камеры работает точкой доступа, модуль приёмника — станцией (роль задаёт переключатель на плате); почему так, сказано выше. В роли точки доступа камера передаёт видео приёмнику один раз, адресно, с подтверждениями и повторами, и на её модуле работают регулятор мощности и нижняя граница модуляции (раздел 3.4). Обмен RTS/CTS — короткие кадры «запрос на передачу» и «разрешение на передачу», которыми передатчик перед длинной посылкой занимает эфир, чтобы её не перебили станции, не слышащие друг друга [5]. В сети из двух узлов таких станций нет, и обмен только тратит эфир; он выключен командой AT+SET_RTS=1000, что подняло скорость в 1,8–2,2 раза (раздел 3.4).</w:t>
      </w:r>
    </w:p>
    <w:p>
      <w:r>
        <w:t>5) Доработки программы модуля: драйвер UART, буфер моста, таймер паузы и скорость интерфейса 3 Мбод вместо рекомендованных производителем 400 кбод [38]; добавлены команды регулятора мощности (AT+PWRCTL) и нижней границы модуляции (AT+MCSFLR). Подробности — в разделах 3.3 и 3.4.</w:t>
      </w:r>
    </w:p>
    <w:p>
      <w:pPr>
        <w:pStyle w:val="Heading2"/>
      </w:pPr>
      <w:r>
        <w:t>2.7 Выводы</w:t>
      </w:r>
    </w:p>
    <w:p>
      <w:r>
        <w:t>1. Теоретическая оценка даёт форму зависимостей: потери 91,2 дБ на 1 км в свободном пространстве, излом двухлучевой модели на 26 м для наземных антенн и на 868 м для антенны на высоте 50 м, скорость физического уровня до 6,5 Мбит/с в канале 2 МГц (MCS 7).</w:t>
      </w:r>
    </w:p>
    <w:p>
      <w:r>
        <w:t>2. Параметры этих зависимостей, выполнение допущений расчёта и поведение платформы определяются только экспериментом. Испытания стенда показали фон у платы с камерой на 25–28 дБ выше, чем у приёмника, долю неудачных попыток передачи 50–67 % при отношении сигнал/шум 30–38 дБ, разброс отношения сигнал/шум на неизменной трассе от 12–20 до 40 дБ и ограничение пропускной способности сначала платформой, затем радиоканалом между платами.</w:t>
      </w:r>
    </w:p>
    <w:p>
      <w:r>
        <w:t>3. Разработаны программа из трёх этапов и методика измерений; показатели — полезная скорость, уровень сигнала, задержка по квитанции, потери фрагментов и видеокадров, PER; варианты сравниваются внутри одного включения питания.</w:t>
      </w:r>
    </w:p>
    <w:p>
      <w:r>
        <w:t>4. Выбрана плата LilyGO T-HaLow как самый дешёвый законченный узел; стенд из двух плат подготовлен и настроен в разрешённой конфигурации: канал шириной 2 МГц с центральной частотой 867 МГц, мощность не более 14 дБм.</w:t>
      </w:r>
    </w:p>
    <w:p>
      <w:pPr>
        <w:pStyle w:val="Heading1"/>
        <w:pageBreakBefore/>
      </w:pPr>
      <w:r>
        <w:t>3 Серия экспериментов на платформе LilyGO T-HaLow и сравнение с другими протоколами</w:t>
      </w:r>
    </w:p>
    <w:p>
      <w:r>
        <w:t>В главе приведены результаты стендовых испытаний (этап 1 программы): поиск звеньев, ограничивающих пропускную способность, доработки канала передачи видео и их проверка, показатели канала по критериям задания, а также оценка дальности и сравнение с другими протоколами (этапы 2 и 3).</w:t>
      </w:r>
    </w:p>
    <w:p>
      <w:pPr>
        <w:pStyle w:val="Heading2"/>
      </w:pPr>
      <w:r>
        <w:t>3.1 Условия испытаний</w:t>
      </w:r>
    </w:p>
    <w:p>
      <w:r>
        <w:rPr>
          <w:b/>
        </w:rPr>
        <w:t xml:space="preserve">Лабораторный этап. </w:t>
      </w:r>
      <w:r>
        <w:t>Платы располагались в помещении на расстоянии до 5 м. Канал — заводской, шириной 4 МГц с центром 866,0 МГц, мощность передатчика до 20 дБм; оба параметра выходят за рамки решений ГКРЧ [15, 23], и эти условия рассматриваются только как лабораторные. Камера снимала видеокадры 240 × 176 точек, качество сжатия JPEG было постоянным — 60 (автоматическое управление качеством введено позже). При мощности 20 дБм на расстоянии до 5 м сигнал на входе приёмника был сильным — модуль сообщал уровень до −5 дБм, — поэтому на этом этапе искались ограничения самой платформы (интерфейсов и сжатия видео), а дальность связи не оценивалась.</w:t>
      </w:r>
    </w:p>
    <w:p>
      <w:r>
        <w:rPr>
          <w:b/>
        </w:rPr>
        <w:t xml:space="preserve">Рабочая конфигурация. </w:t>
      </w:r>
      <w:r>
        <w:t>Канал 2 МГц с центром 867,0 МГц (полоса 866–868 МГц), мощность не более 14 дБм. Камера — в соседней комнате на расстоянии около 5 м от приёмника, за стеной, то есть вне прямой видимости (далее — трасса 5 м через стену); питание от внешнего аккумулятора; приёмник подключён к компьютеру по USB. Разрешение — сначала 320 × 240 точек, затем 480 × 320. Модуль камеры работает точкой доступа (AP), модуль приёмника — станцией (STA); причины смены ролей приведены в разделе 2.6 (пункт 4) и в разделе 3.4. Все опыты главы, кроме лабораторного этапа и измерения границы связи, выполнены на трассе 5 м через стену.</w:t>
      </w:r>
    </w:p>
    <w:p>
      <w:r>
        <w:rPr>
          <w:b/>
        </w:rPr>
        <w:t xml:space="preserve">Измерение границы связи. </w:t>
      </w:r>
      <w:r>
        <w:t>Итоговая версия Wi-Fi HaLow (14 дБм) и Wi-Fi 2,4 ГГц той же пары плат (20 дБм) испытаны на трассе прямой видимости на одних и тех же положениях приёмника по методике раздела 2.4 (раздел 3.6).</w:t>
      </w:r>
    </w:p>
    <w:p>
      <w:pPr>
        <w:pStyle w:val="Heading2"/>
      </w:pPr>
      <w:r>
        <w:t>3.2 Влияние полосы приёма (лабораторный этап)</w:t>
      </w:r>
    </w:p>
    <w:p>
      <w:r>
        <w:t xml:space="preserve">В модуле раздельно задаются две ширины полосы: полоса приёма (параметр BSS_BW) и полоса излучаемого сигнала широковещательных кадров (параметр MCAST_BW), которая по умолчанию равна 2 МГц. Результаты четырёх сочетаний, снятых в один день на одном стенде на лабораторном этапе, приведены в таблице </w:t>
      </w:r>
      <w:r>
        <w:t>3.1</w:t>
      </w:r>
      <w:r>
        <w:t>.</w:t>
      </w:r>
    </w:p>
    <w:p>
      <w:pPr>
        <w:pStyle w:val="TableCaption"/>
        <w:ind w:firstLine="0"/>
      </w:pPr>
      <w:r>
        <w:t>Таблица 3.1 – Влияние полосы приёма и полосы сигнала (лабораторный этап, 866 МГц, скорость UART 384 000 бод, 200 с на точку)</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3118"/>
        <w:gridCol w:w="1530"/>
        <w:gridCol w:w="1530"/>
        <w:gridCol w:w="1530"/>
        <w:gridCol w:w="1644"/>
      </w:tblGrid>
      <w:tr>
        <w:trPr>
          <w:cantSplit/>
          <w:tblHeader w:val="true"/>
        </w:trPr>
        <w:tc>
          <w:tcPr>
            <w:tcW w:type="dxa" w:w="3118"/>
            <w:vAlign w:val="center"/>
          </w:tcPr>
          <w:p>
            <w:pPr>
              <w:pStyle w:val="TableText"/>
              <w:keepNext/>
              <w:jc w:val="center"/>
            </w:pPr>
            <w:r>
              <w:rPr>
                <w:b/>
                <w:sz w:val="22"/>
              </w:rPr>
              <w:t>Полоса приёма / сигнала, МГц</w:t>
            </w:r>
          </w:p>
        </w:tc>
        <w:tc>
          <w:tcPr>
            <w:tcW w:type="dxa" w:w="1531"/>
            <w:vAlign w:val="center"/>
          </w:tcPr>
          <w:p>
            <w:pPr>
              <w:pStyle w:val="TableText"/>
              <w:keepNext/>
              <w:jc w:val="center"/>
            </w:pPr>
            <w:r>
              <w:rPr>
                <w:b/>
                <w:sz w:val="22"/>
              </w:rPr>
              <w:t>8 / 2</w:t>
            </w:r>
          </w:p>
        </w:tc>
        <w:tc>
          <w:tcPr>
            <w:tcW w:type="dxa" w:w="1531"/>
            <w:vAlign w:val="center"/>
          </w:tcPr>
          <w:p>
            <w:pPr>
              <w:pStyle w:val="TableText"/>
              <w:keepNext/>
              <w:jc w:val="center"/>
            </w:pPr>
            <w:r>
              <w:rPr>
                <w:b/>
                <w:sz w:val="22"/>
              </w:rPr>
              <w:t>8 / 8</w:t>
            </w:r>
          </w:p>
        </w:tc>
        <w:tc>
          <w:tcPr>
            <w:tcW w:type="dxa" w:w="1531"/>
            <w:vAlign w:val="center"/>
          </w:tcPr>
          <w:p>
            <w:pPr>
              <w:pStyle w:val="TableText"/>
              <w:keepNext/>
              <w:jc w:val="center"/>
            </w:pPr>
            <w:r>
              <w:rPr>
                <w:b/>
                <w:sz w:val="22"/>
              </w:rPr>
              <w:t>4 / 4</w:t>
            </w:r>
          </w:p>
        </w:tc>
        <w:tc>
          <w:tcPr>
            <w:tcW w:type="dxa" w:w="1644"/>
            <w:vAlign w:val="center"/>
          </w:tcPr>
          <w:p>
            <w:pPr>
              <w:pStyle w:val="TableText"/>
              <w:keepNext/>
              <w:jc w:val="center"/>
            </w:pPr>
            <w:r>
              <w:rPr>
                <w:b/>
                <w:sz w:val="22"/>
              </w:rPr>
              <w:t>4 / 2</w:t>
            </w:r>
          </w:p>
        </w:tc>
      </w:tr>
      <w:tr>
        <w:trPr>
          <w:cantSplit/>
        </w:trPr>
        <w:tc>
          <w:tcPr>
            <w:tcW w:type="dxa" w:w="3118"/>
            <w:vAlign w:val="center"/>
          </w:tcPr>
          <w:p>
            <w:pPr>
              <w:pStyle w:val="TableText"/>
              <w:keepNext/>
              <w:jc w:val="left"/>
            </w:pPr>
            <w:r>
              <w:rPr>
                <w:sz w:val="22"/>
              </w:rPr>
              <w:t>Потери фрагментов, %</w:t>
            </w:r>
          </w:p>
        </w:tc>
        <w:tc>
          <w:tcPr>
            <w:tcW w:type="dxa" w:w="1531"/>
            <w:vAlign w:val="center"/>
          </w:tcPr>
          <w:p>
            <w:pPr>
              <w:pStyle w:val="TableText"/>
              <w:keepNext/>
              <w:jc w:val="center"/>
            </w:pPr>
            <w:r>
              <w:rPr>
                <w:sz w:val="22"/>
              </w:rPr>
              <w:t>7,49</w:t>
            </w:r>
          </w:p>
        </w:tc>
        <w:tc>
          <w:tcPr>
            <w:tcW w:type="dxa" w:w="1531"/>
            <w:vAlign w:val="center"/>
          </w:tcPr>
          <w:p>
            <w:pPr>
              <w:pStyle w:val="TableText"/>
              <w:keepNext/>
              <w:jc w:val="center"/>
            </w:pPr>
            <w:r>
              <w:rPr>
                <w:sz w:val="22"/>
              </w:rPr>
              <w:t>6,01</w:t>
            </w:r>
          </w:p>
        </w:tc>
        <w:tc>
          <w:tcPr>
            <w:tcW w:type="dxa" w:w="1531"/>
            <w:vAlign w:val="center"/>
          </w:tcPr>
          <w:p>
            <w:pPr>
              <w:pStyle w:val="TableText"/>
              <w:keepNext/>
              <w:jc w:val="center"/>
            </w:pPr>
            <w:r>
              <w:rPr>
                <w:sz w:val="22"/>
              </w:rPr>
              <w:t>1,88</w:t>
            </w:r>
          </w:p>
        </w:tc>
        <w:tc>
          <w:tcPr>
            <w:tcW w:type="dxa" w:w="1644"/>
            <w:vAlign w:val="center"/>
          </w:tcPr>
          <w:p>
            <w:pPr>
              <w:pStyle w:val="TableText"/>
              <w:keepNext/>
              <w:jc w:val="center"/>
            </w:pPr>
            <w:r>
              <w:rPr>
                <w:sz w:val="22"/>
              </w:rPr>
              <w:t>1,71</w:t>
            </w:r>
          </w:p>
        </w:tc>
      </w:tr>
      <w:tr>
        <w:trPr>
          <w:cantSplit/>
        </w:trPr>
        <w:tc>
          <w:tcPr>
            <w:tcW w:type="dxa" w:w="3118"/>
            <w:vAlign w:val="center"/>
          </w:tcPr>
          <w:p>
            <w:pPr>
              <w:pStyle w:val="TableText"/>
              <w:keepNext/>
              <w:jc w:val="left"/>
            </w:pPr>
            <w:r>
              <w:rPr>
                <w:sz w:val="22"/>
              </w:rPr>
              <w:t>Время на связи, %</w:t>
            </w:r>
          </w:p>
        </w:tc>
        <w:tc>
          <w:tcPr>
            <w:tcW w:type="dxa" w:w="1531"/>
            <w:vAlign w:val="center"/>
          </w:tcPr>
          <w:p>
            <w:pPr>
              <w:pStyle w:val="TableText"/>
              <w:keepNext/>
              <w:jc w:val="center"/>
            </w:pPr>
            <w:r>
              <w:rPr>
                <w:sz w:val="22"/>
              </w:rPr>
              <w:t>99</w:t>
            </w:r>
          </w:p>
        </w:tc>
        <w:tc>
          <w:tcPr>
            <w:tcW w:type="dxa" w:w="1531"/>
            <w:vAlign w:val="center"/>
          </w:tcPr>
          <w:p>
            <w:pPr>
              <w:pStyle w:val="TableText"/>
              <w:keepNext/>
              <w:jc w:val="center"/>
            </w:pPr>
            <w:r>
              <w:rPr>
                <w:sz w:val="22"/>
              </w:rPr>
              <w:t>93</w:t>
            </w:r>
          </w:p>
        </w:tc>
        <w:tc>
          <w:tcPr>
            <w:tcW w:type="dxa" w:w="1531"/>
            <w:vAlign w:val="center"/>
          </w:tcPr>
          <w:p>
            <w:pPr>
              <w:pStyle w:val="TableText"/>
              <w:keepNext/>
              <w:jc w:val="center"/>
            </w:pPr>
            <w:r>
              <w:rPr>
                <w:sz w:val="22"/>
              </w:rPr>
              <w:t>100</w:t>
            </w:r>
          </w:p>
        </w:tc>
        <w:tc>
          <w:tcPr>
            <w:tcW w:type="dxa" w:w="1644"/>
            <w:vAlign w:val="center"/>
          </w:tcPr>
          <w:p>
            <w:pPr>
              <w:pStyle w:val="TableText"/>
              <w:keepNext/>
              <w:jc w:val="center"/>
            </w:pPr>
            <w:r>
              <w:rPr>
                <w:sz w:val="22"/>
              </w:rPr>
              <w:t>100</w:t>
            </w:r>
          </w:p>
        </w:tc>
      </w:tr>
      <w:tr>
        <w:trPr>
          <w:cantSplit/>
        </w:trPr>
        <w:tc>
          <w:tcPr>
            <w:tcW w:type="dxa" w:w="3118"/>
            <w:vAlign w:val="center"/>
          </w:tcPr>
          <w:p>
            <w:pPr>
              <w:pStyle w:val="TableText"/>
              <w:keepNext/>
              <w:jc w:val="left"/>
            </w:pPr>
            <w:r>
              <w:rPr>
                <w:sz w:val="22"/>
              </w:rPr>
              <w:t>Пропускная способность, кбит/с</w:t>
            </w:r>
          </w:p>
        </w:tc>
        <w:tc>
          <w:tcPr>
            <w:tcW w:type="dxa" w:w="1531"/>
            <w:vAlign w:val="center"/>
          </w:tcPr>
          <w:p>
            <w:pPr>
              <w:pStyle w:val="TableText"/>
              <w:keepNext/>
              <w:jc w:val="center"/>
            </w:pPr>
            <w:r>
              <w:rPr>
                <w:sz w:val="22"/>
              </w:rPr>
              <w:t>155,6</w:t>
            </w:r>
          </w:p>
        </w:tc>
        <w:tc>
          <w:tcPr>
            <w:tcW w:type="dxa" w:w="1531"/>
            <w:vAlign w:val="center"/>
          </w:tcPr>
          <w:p>
            <w:pPr>
              <w:pStyle w:val="TableText"/>
              <w:keepNext/>
              <w:jc w:val="center"/>
            </w:pPr>
            <w:r>
              <w:rPr>
                <w:sz w:val="22"/>
              </w:rPr>
              <w:t>138,3</w:t>
            </w:r>
          </w:p>
        </w:tc>
        <w:tc>
          <w:tcPr>
            <w:tcW w:type="dxa" w:w="1531"/>
            <w:vAlign w:val="center"/>
          </w:tcPr>
          <w:p>
            <w:pPr>
              <w:pStyle w:val="TableText"/>
              <w:keepNext/>
              <w:jc w:val="center"/>
            </w:pPr>
            <w:r>
              <w:rPr>
                <w:sz w:val="22"/>
              </w:rPr>
              <w:t>179,7</w:t>
            </w:r>
          </w:p>
        </w:tc>
        <w:tc>
          <w:tcPr>
            <w:tcW w:type="dxa" w:w="1644"/>
            <w:vAlign w:val="center"/>
          </w:tcPr>
          <w:p>
            <w:pPr>
              <w:pStyle w:val="TableText"/>
              <w:keepNext/>
              <w:jc w:val="center"/>
            </w:pPr>
            <w:r>
              <w:rPr>
                <w:sz w:val="22"/>
              </w:rPr>
              <w:t>182,3</w:t>
            </w:r>
          </w:p>
        </w:tc>
      </w:tr>
      <w:tr>
        <w:trPr>
          <w:cantSplit/>
        </w:trPr>
        <w:tc>
          <w:tcPr>
            <w:tcW w:type="dxa" w:w="3118"/>
            <w:vAlign w:val="center"/>
          </w:tcPr>
          <w:p>
            <w:pPr>
              <w:pStyle w:val="TableText"/>
              <w:jc w:val="left"/>
            </w:pPr>
            <w:r>
              <w:rPr>
                <w:sz w:val="22"/>
              </w:rPr>
              <w:t>Ошибки контрольной суммы</w:t>
            </w:r>
          </w:p>
        </w:tc>
        <w:tc>
          <w:tcPr>
            <w:tcW w:type="dxa" w:w="1531"/>
            <w:vAlign w:val="center"/>
          </w:tcPr>
          <w:p>
            <w:pPr>
              <w:pStyle w:val="TableText"/>
              <w:jc w:val="center"/>
            </w:pPr>
            <w:r>
              <w:rPr>
                <w:sz w:val="22"/>
              </w:rPr>
              <w:t>0</w:t>
            </w:r>
          </w:p>
        </w:tc>
        <w:tc>
          <w:tcPr>
            <w:tcW w:type="dxa" w:w="1531"/>
            <w:vAlign w:val="center"/>
          </w:tcPr>
          <w:p>
            <w:pPr>
              <w:pStyle w:val="TableText"/>
              <w:jc w:val="center"/>
            </w:pPr>
            <w:r>
              <w:rPr>
                <w:sz w:val="22"/>
              </w:rPr>
              <w:t>0</w:t>
            </w:r>
          </w:p>
        </w:tc>
        <w:tc>
          <w:tcPr>
            <w:tcW w:type="dxa" w:w="1531"/>
            <w:vAlign w:val="center"/>
          </w:tcPr>
          <w:p>
            <w:pPr>
              <w:pStyle w:val="TableText"/>
              <w:jc w:val="center"/>
            </w:pPr>
            <w:r>
              <w:rPr>
                <w:sz w:val="22"/>
              </w:rPr>
              <w:t>0</w:t>
            </w:r>
          </w:p>
        </w:tc>
        <w:tc>
          <w:tcPr>
            <w:tcW w:type="dxa" w:w="1644"/>
            <w:vAlign w:val="center"/>
          </w:tcPr>
          <w:p>
            <w:pPr>
              <w:pStyle w:val="TableText"/>
              <w:jc w:val="center"/>
            </w:pPr>
            <w:r>
              <w:rPr>
                <w:sz w:val="22"/>
              </w:rPr>
              <w:t>0</w:t>
            </w:r>
          </w:p>
        </w:tc>
      </w:tr>
    </w:tbl>
    <w:p>
      <w:pPr>
        <w:spacing w:line="240" w:lineRule="auto"/>
      </w:pPr>
    </w:p>
    <w:p>
      <w:r>
        <w:t>Потери определяет полоса приёма: её сужение с 8 до 4 МГц снизило их в 4,4 раза (с 7,49 до 1,71 %), а ширина сигнала при более узкой полосе приёма почти не влияет (1,71 и 1,88 % — в пределах разброса). Причина — шум и помехи, которые собирает приёмник: по формуле (1.2) мощность шума пропорциональна полосе приёма, и при её сужении с B₁ до B₂ шум уменьшается на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r>
                <w:rPr>
                  <w:rFonts w:ascii="Cambria Math" w:hAnsi="Cambria Math"/>
                </w:rPr>
                <m:t xml:space="preserve">ΔN</m:t>
              </m:r>
              <m:r>
                <m:rPr>
                  <m:sty m:val="p"/>
                </m:rPr>
                <w:rPr>
                  <w:rFonts w:ascii="Cambria Math" w:hAnsi="Cambria Math"/>
                </w:rPr>
                <m:t xml:space="preserve"> = 10 lg </m:t>
              </m:r>
              <m:f>
                <m:num>
                  <m:sSub>
                    <m:e>
                      <m:r>
                        <w:rPr>
                          <w:rFonts w:ascii="Cambria Math" w:hAnsi="Cambria Math"/>
                        </w:rPr>
                        <m:t xml:space="preserve">B</m:t>
                      </m:r>
                    </m:e>
                    <m:sub>
                      <m:r>
                        <m:rPr>
                          <m:sty m:val="p"/>
                        </m:rPr>
                        <w:rPr>
                          <w:rFonts w:ascii="Cambria Math" w:hAnsi="Cambria Math"/>
                        </w:rPr>
                        <m:t xml:space="preserve">1</m:t>
                      </m:r>
                    </m:sub>
                  </m:sSub>
                </m:num>
                <m:den>
                  <m:sSub>
                    <m:e>
                      <m:r>
                        <w:rPr>
                          <w:rFonts w:ascii="Cambria Math" w:hAnsi="Cambria Math"/>
                        </w:rPr>
                        <m:t xml:space="preserve">B</m:t>
                      </m:r>
                    </m:e>
                    <m:sub>
                      <m:r>
                        <m:rPr>
                          <m:sty m:val="p"/>
                        </m:rPr>
                        <w:rPr>
                          <w:rFonts w:ascii="Cambria Math" w:hAnsi="Cambria Math"/>
                        </w:rPr>
                        <m:t xml:space="preserve">2</m:t>
                      </m:r>
                    </m:sub>
                  </m:sSub>
                </m:den>
              </m:f>
              <m:r>
                <m:rPr>
                  <m:sty m:val="p"/>
                </m:rPr>
                <w:rPr>
                  <w:rFonts w:ascii="Cambria Math" w:hAnsi="Cambria Math"/>
                </w:rPr>
                <m:t xml:space="preserve"> = 10 lg </m:t>
              </m:r>
              <m:f>
                <m:num>
                  <m:r>
                    <m:rPr>
                      <m:sty m:val="p"/>
                    </m:rPr>
                    <w:rPr>
                      <w:rFonts w:ascii="Cambria Math" w:hAnsi="Cambria Math"/>
                    </w:rPr>
                    <m:t xml:space="preserve">8</m:t>
                  </m:r>
                </m:num>
                <m:den>
                  <m:r>
                    <m:rPr>
                      <m:sty m:val="p"/>
                    </m:rPr>
                    <w:rPr>
                      <w:rFonts w:ascii="Cambria Math" w:hAnsi="Cambria Math"/>
                    </w:rPr>
                    <m:t xml:space="preserve">4</m:t>
                  </m:r>
                </m:den>
              </m:f>
              <m:r>
                <m:rPr>
                  <m:sty m:val="p"/>
                </m:rPr>
                <w:rPr>
                  <w:rFonts w:ascii="Cambria Math" w:hAnsi="Cambria Math"/>
                </w:rPr>
                <m:t xml:space="preserve"> = 3,0 дБ,</m:t>
              </m:r>
            </m:oMath>
          </w:p>
        </w:tc>
        <w:tc>
          <w:tcPr>
            <w:tcW w:type="dxa" w:w="1020"/>
            <w:vAlign w:val="center"/>
          </w:tcPr>
          <w:p>
            <w:pPr>
              <w:pStyle w:val="Formula"/>
              <w:jc w:val="right"/>
            </w:pPr>
            <w:r>
              <w:t>(3.1)</w:t>
            </w:r>
          </w:p>
        </w:tc>
      </w:tr>
    </w:tbl>
    <w:p>
      <w:pPr>
        <w:ind w:firstLine="0"/>
      </w:pPr>
      <w:r>
        <w:t xml:space="preserve">где </w:t>
      </w:r>
      <w:r>
        <w:t>ΔN — уменьшение мощности шума, дБ; B₁, B₂ — полоса приёма до и после сужения, МГц.</w:t>
      </w:r>
    </w:p>
    <w:p>
      <w:r>
        <w:t>Сигнал занимает 2 МГц в обоих случаях, поэтому отношение сигнал/шум растёт на те же 3,0 дБ. Одним тепловым шумом снижение потерь в 4,4 раза не объясняется: в полосу 8 МГц попадают и излучения других устройств диапазона 863–870 МГц, а при сужении полосы приёма они отсекаются. Эксперимент подтвердил направление эффекта: чем уже полоса приёма, тем меньше потерь.</w:t>
      </w:r>
    </w:p>
    <w:p>
      <w:r>
        <w:t>Вероятность установления связи ведёт себя так же: из включений питания связь устанавливалась в 4 из 12 при полосе 8 МГц, в 5 из 6 — при 4 МГц и в 6 из 7 — при 2 МГц. Причина та же: широкая полоса приёма снижает отношение сигнал/шум, канал работает на пределе, и обмен служебными кадрами при подключении проходит не с первого раза. Полоса 2 МГц по надёжности не уступает более широким. Затем канал переведён на 2 МГц с центром 867,0 МГц: доля неудачных попыток передачи при этом не изменилась, а канал стал соответствовать требованиям к устройствам малого радиуса действия. Все дальнейшие результаты получены в этом канале.</w:t>
      </w:r>
    </w:p>
    <w:p>
      <w:pPr>
        <w:pStyle w:val="Heading2"/>
      </w:pPr>
      <w:r>
        <w:t>3.3 Пропускная способность платформы и ограничивающее звено</w:t>
      </w:r>
    </w:p>
    <w:p>
      <w:r>
        <w:t xml:space="preserve">Исходно платформа передавала 121 кбит/с — более чем на порядок меньше скорости радиоканала по таблице 2.1. Последовательный поиск ограничивающего звена и его устранение подняли пропускную способность примерно до 0,7 Мбит/с на лабораторном этапе, а после перехода на разрешённый канал, трассу 5 м через стену и доработок канала — до 1063 кбит/с полезного видео 480 × 320 в итоговой версии. Этапы показаны на рисунке </w:t>
      </w:r>
      <w:r>
        <w:t>3.1</w:t>
      </w:r>
      <w:r>
        <w:t>. Условия замеров различаются: лабораторные точки сняты при разрешении 240 × 176 в канале 4 МГц, остальные — на трассе 5 м через стену в канале 2 МГц; в ранних замерах считались все байты, принятые приёмником, в поздних — только полезное видео. Поэтому рисунок показывает путь доработки; насколько помогла каждая доработка последнего этапа, установлено отдельно — поочерёдным включением и выключением в одном опыте (раздел 3.4). Нижняя группа рисунка — итоговая версия на трассе прямой видимости при измерении границы связи (раздел 3.6).</w:t>
      </w:r>
    </w:p>
    <w:p>
      <w:pPr>
        <w:keepNext/>
        <w:ind w:firstLine="0"/>
        <w:jc w:val="center"/>
      </w:pPr>
      <w:r>
        <w:drawing>
          <wp:inline xmlns:a="http://schemas.openxmlformats.org/drawingml/2006/main" xmlns:pic="http://schemas.openxmlformats.org/drawingml/2006/picture">
            <wp:extent cx="5940000" cy="3389253"/>
            <wp:docPr id="4" name="Picture 4"/>
            <wp:cNvGraphicFramePr>
              <a:graphicFrameLocks noChangeAspect="1"/>
            </wp:cNvGraphicFramePr>
            <a:graphic>
              <a:graphicData uri="http://schemas.openxmlformats.org/drawingml/2006/picture">
                <pic:pic>
                  <pic:nvPicPr>
                    <pic:cNvPr id="0" name="fig_throughput.png"/>
                    <pic:cNvPicPr/>
                  </pic:nvPicPr>
                  <pic:blipFill>
                    <a:blip r:embed="rId13"/>
                    <a:stretch>
                      <a:fillRect/>
                    </a:stretch>
                  </pic:blipFill>
                  <pic:spPr>
                    <a:xfrm>
                      <a:off x="0" y="0"/>
                      <a:ext cx="5940000" cy="3389253"/>
                    </a:xfrm>
                    <a:prstGeom prst="rect"/>
                  </pic:spPr>
                </pic:pic>
              </a:graphicData>
            </a:graphic>
          </wp:inline>
        </w:drawing>
      </w:r>
    </w:p>
    <w:p>
      <w:pPr>
        <w:ind w:firstLine="0"/>
        <w:jc w:val="center"/>
      </w:pPr>
      <w:r>
        <w:t>Рисунок 3.1 – Рост пропускной способности платформы по этапам доработки</w:t>
      </w:r>
    </w:p>
    <w:p>
      <w:r>
        <w:rPr>
          <w:b/>
        </w:rPr>
        <w:t xml:space="preserve">Приём UART в модуле. </w:t>
      </w:r>
      <w:r>
        <w:t xml:space="preserve">При скорости интерфейса 3 Мбод видео не доходило: за опыт собиралось лишь несколько видеокадров. Причина — в драйвере UART встроенной программы радиомодуля, то есть в том, как процессор модуля принимал байты (таблица </w:t>
      </w:r>
      <w:r>
        <w:t>3.2</w:t>
      </w:r>
      <w:r>
        <w:t>). Принятые байты складываются в аппаратный буфер FIFO на 64 Б, а процессор модуля забирает их по прерыванию. В исходном драйвере прерывание срабатывало на каждый байт и забирало только его. При 3 Мбод байты приходят 300 тысяч раз в секунду, и процессор модуля, который одновременно обслуживает радио, не успевал: буфер переполнялся, и терялось 89,5 % байтов. Драйвер изменён так, что за одно прерывание забирается всё накопленное в буфере, в среднем 11 байт, — переполнения исчезли полностью.</w:t>
      </w:r>
    </w:p>
    <w:p>
      <w:pPr>
        <w:pStyle w:val="TableCaption"/>
        <w:ind w:firstLine="0"/>
      </w:pPr>
      <w:r>
        <w:t>Таблица 3.2 – Приём UART в модуле при 3 Мбод до и после изменения драйвера</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4251"/>
        <w:gridCol w:w="2551"/>
        <w:gridCol w:w="2551"/>
      </w:tblGrid>
      <w:tr>
        <w:trPr>
          <w:cantSplit/>
          <w:tblHeader w:val="true"/>
        </w:trPr>
        <w:tc>
          <w:tcPr>
            <w:tcW w:type="dxa" w:w="4252"/>
            <w:vAlign w:val="center"/>
          </w:tcPr>
          <w:p>
            <w:pPr>
              <w:pStyle w:val="TableText"/>
              <w:keepNext/>
              <w:jc w:val="center"/>
            </w:pPr>
            <w:r>
              <w:rPr>
                <w:b/>
                <w:sz w:val="22"/>
              </w:rPr>
              <w:t>Показатель</w:t>
            </w:r>
          </w:p>
        </w:tc>
        <w:tc>
          <w:tcPr>
            <w:tcW w:type="dxa" w:w="2551"/>
            <w:vAlign w:val="center"/>
          </w:tcPr>
          <w:p>
            <w:pPr>
              <w:pStyle w:val="TableText"/>
              <w:keepNext/>
              <w:jc w:val="center"/>
            </w:pPr>
            <w:r>
              <w:rPr>
                <w:b/>
                <w:sz w:val="22"/>
              </w:rPr>
              <w:t>Исходный драйвер</w:t>
            </w:r>
          </w:p>
        </w:tc>
        <w:tc>
          <w:tcPr>
            <w:tcW w:type="dxa" w:w="2551"/>
            <w:vAlign w:val="center"/>
          </w:tcPr>
          <w:p>
            <w:pPr>
              <w:pStyle w:val="TableText"/>
              <w:keepNext/>
              <w:jc w:val="center"/>
            </w:pPr>
            <w:r>
              <w:rPr>
                <w:b/>
                <w:sz w:val="22"/>
              </w:rPr>
              <w:t>Чтение всего FIFO</w:t>
            </w:r>
          </w:p>
        </w:tc>
      </w:tr>
      <w:tr>
        <w:trPr>
          <w:cantSplit/>
        </w:trPr>
        <w:tc>
          <w:tcPr>
            <w:tcW w:type="dxa" w:w="4252"/>
            <w:vAlign w:val="center"/>
          </w:tcPr>
          <w:p>
            <w:pPr>
              <w:pStyle w:val="TableText"/>
              <w:keepNext/>
              <w:jc w:val="left"/>
            </w:pPr>
            <w:r>
              <w:rPr>
                <w:sz w:val="22"/>
              </w:rPr>
              <w:t>Байт за вход в прерывание</w:t>
            </w:r>
          </w:p>
        </w:tc>
        <w:tc>
          <w:tcPr>
            <w:tcW w:type="dxa" w:w="2551"/>
            <w:vAlign w:val="center"/>
          </w:tcPr>
          <w:p>
            <w:pPr>
              <w:pStyle w:val="TableText"/>
              <w:keepNext/>
              <w:jc w:val="center"/>
            </w:pPr>
            <w:r>
              <w:rPr>
                <w:sz w:val="22"/>
              </w:rPr>
              <w:t>1,0</w:t>
            </w:r>
          </w:p>
        </w:tc>
        <w:tc>
          <w:tcPr>
            <w:tcW w:type="dxa" w:w="2551"/>
            <w:vAlign w:val="center"/>
          </w:tcPr>
          <w:p>
            <w:pPr>
              <w:pStyle w:val="TableText"/>
              <w:keepNext/>
              <w:jc w:val="center"/>
            </w:pPr>
            <w:r>
              <w:rPr>
                <w:sz w:val="22"/>
              </w:rPr>
              <w:t>11,2</w:t>
            </w:r>
          </w:p>
        </w:tc>
      </w:tr>
      <w:tr>
        <w:trPr>
          <w:cantSplit/>
        </w:trPr>
        <w:tc>
          <w:tcPr>
            <w:tcW w:type="dxa" w:w="4252"/>
            <w:vAlign w:val="center"/>
          </w:tcPr>
          <w:p>
            <w:pPr>
              <w:pStyle w:val="TableText"/>
              <w:keepNext/>
              <w:jc w:val="left"/>
            </w:pPr>
            <w:r>
              <w:rPr>
                <w:sz w:val="22"/>
              </w:rPr>
              <w:t>Переполнений FIFO</w:t>
            </w:r>
          </w:p>
        </w:tc>
        <w:tc>
          <w:tcPr>
            <w:tcW w:type="dxa" w:w="2551"/>
            <w:vAlign w:val="center"/>
          </w:tcPr>
          <w:p>
            <w:pPr>
              <w:pStyle w:val="TableText"/>
              <w:keepNext/>
              <w:jc w:val="center"/>
            </w:pPr>
            <w:r>
              <w:rPr>
                <w:sz w:val="22"/>
              </w:rPr>
              <w:t>527 815 (89,5 % байтов)</w:t>
            </w:r>
          </w:p>
        </w:tc>
        <w:tc>
          <w:tcPr>
            <w:tcW w:type="dxa" w:w="2551"/>
            <w:vAlign w:val="center"/>
          </w:tcPr>
          <w:p>
            <w:pPr>
              <w:pStyle w:val="TableText"/>
              <w:keepNext/>
              <w:jc w:val="center"/>
            </w:pPr>
            <w:r>
              <w:rPr>
                <w:sz w:val="22"/>
              </w:rPr>
              <w:t>0</w:t>
            </w:r>
          </w:p>
        </w:tc>
      </w:tr>
      <w:tr>
        <w:trPr>
          <w:cantSplit/>
        </w:trPr>
        <w:tc>
          <w:tcPr>
            <w:tcW w:type="dxa" w:w="4252"/>
            <w:vAlign w:val="center"/>
          </w:tcPr>
          <w:p>
            <w:pPr>
              <w:pStyle w:val="TableText"/>
              <w:keepNext/>
              <w:jc w:val="left"/>
            </w:pPr>
            <w:r>
              <w:rPr>
                <w:sz w:val="22"/>
              </w:rPr>
              <w:t>Ошибок контрольной суммы на приёмнике</w:t>
            </w:r>
          </w:p>
        </w:tc>
        <w:tc>
          <w:tcPr>
            <w:tcW w:type="dxa" w:w="2551"/>
            <w:vAlign w:val="center"/>
          </w:tcPr>
          <w:p>
            <w:pPr>
              <w:pStyle w:val="TableText"/>
              <w:keepNext/>
              <w:jc w:val="center"/>
            </w:pPr>
            <w:r>
              <w:rPr>
                <w:sz w:val="22"/>
              </w:rPr>
              <w:t>468 и росли</w:t>
            </w:r>
          </w:p>
        </w:tc>
        <w:tc>
          <w:tcPr>
            <w:tcW w:type="dxa" w:w="2551"/>
            <w:vAlign w:val="center"/>
          </w:tcPr>
          <w:p>
            <w:pPr>
              <w:pStyle w:val="TableText"/>
              <w:keepNext/>
              <w:jc w:val="center"/>
            </w:pPr>
            <w:r>
              <w:rPr>
                <w:sz w:val="22"/>
              </w:rPr>
              <w:t>0</w:t>
            </w:r>
          </w:p>
        </w:tc>
      </w:tr>
      <w:tr>
        <w:trPr>
          <w:cantSplit/>
        </w:trPr>
        <w:tc>
          <w:tcPr>
            <w:tcW w:type="dxa" w:w="4252"/>
            <w:vAlign w:val="center"/>
          </w:tcPr>
          <w:p>
            <w:pPr>
              <w:pStyle w:val="TableText"/>
              <w:jc w:val="left"/>
            </w:pPr>
            <w:r>
              <w:rPr>
                <w:sz w:val="22"/>
              </w:rPr>
              <w:t>Собрано видеокадров за опыт</w:t>
            </w:r>
          </w:p>
        </w:tc>
        <w:tc>
          <w:tcPr>
            <w:tcW w:type="dxa" w:w="2551"/>
            <w:vAlign w:val="center"/>
          </w:tcPr>
          <w:p>
            <w:pPr>
              <w:pStyle w:val="TableText"/>
              <w:jc w:val="center"/>
            </w:pPr>
            <w:r>
              <w:rPr>
                <w:sz w:val="22"/>
              </w:rPr>
              <w:t>4</w:t>
            </w:r>
          </w:p>
        </w:tc>
        <w:tc>
          <w:tcPr>
            <w:tcW w:type="dxa" w:w="2551"/>
            <w:vAlign w:val="center"/>
          </w:tcPr>
          <w:p>
            <w:pPr>
              <w:pStyle w:val="TableText"/>
              <w:jc w:val="center"/>
            </w:pPr>
            <w:r>
              <w:rPr>
                <w:sz w:val="22"/>
              </w:rPr>
              <w:t>1755</w:t>
            </w:r>
          </w:p>
        </w:tc>
      </w:tr>
    </w:tbl>
    <w:p>
      <w:pPr>
        <w:spacing w:line="240" w:lineRule="auto"/>
      </w:pPr>
    </w:p>
    <w:p>
      <w:r>
        <w:t>Этим объясняется и рекомендация производителя платы не превышать 400 кбод [38]. Аппаратура позволяет больше: UART радиомодуля работает до 6 Мбод, процессора ESP32-S3 — до 5 Мбод. Ограничивал исходный драйвер: при 400 кбод байты приходят 40 тысяч раз в секунду, и побайтовые прерывания успевают их забирать, а при 3 Мбод — уже 300 тысяч раз, и не успевают. Изменённый драйвер снимает это ограничение.</w:t>
      </w:r>
    </w:p>
    <w:p>
      <w:r>
        <w:rPr>
          <w:b/>
        </w:rPr>
        <w:t xml:space="preserve">Паузы между фрагментами. </w:t>
      </w:r>
      <w:r>
        <w:t>Модуль не знает, где кончается фрагмент: он копит байты из UART и отправляет накопленное в эфир одним кадром MAC, когда на линии наступает пауза дольше уставки его таймера — исходно 2 мс. Поэтому процессор камеры должен выдерживать между фрагментами паузу длиннее уставки, иначе два фрагмента склеиваются в один слишком длинный кадр, и модуль его отбрасывает. На лабораторном этапе при паузе 3 мс потерь не было, при 2 мс терялось 25,6 % фрагментов, при 1 мс — 99,6 %. Но пока идёт пауза, линия простаивает. Пауза камеры складывается из двух частей: уставки таймера, по которой модуль понимает, что фрагмент кончился, и времени, за которое модуль отправляет этот фрагмент в эфир и готов принимать следующий, — около 1–1,5 мс. Пока уставка была 2 мс, пауза не могла быть короче 2 мс. Поэтому уставка таймера уменьшена с 2 мс до 400 мкс, и пауза стала определяться уже временем отправки. Подбор паузы после этого показал: при 2,0 мс — 886 кбит/с без потерь, при 1,5 мс — 990 кбит/с и 0,5 % повреждённых фрагментов, при 1,0 мс — 846 кбит/с и 2,5 %, при 0,6 мс поток разрушается (21 % повреждённых): модуль не успевает отправить предыдущий фрагмент. Принята пауза 1,5 мс — она дала наибольшую скорость, на 12 % выше, чем при 2 мс, при малой доле повреждений.</w:t>
      </w:r>
    </w:p>
    <w:p>
      <w:r>
        <w:rPr>
          <w:b/>
        </w:rPr>
        <w:t xml:space="preserve">Бюджет интерфейса. </w:t>
      </w:r>
      <w:r>
        <w:t>Предел скорости интерфейса следует из формата UART: каждый байт передаётся 10 битами — стартовый бит, 8 бит данных и стоповый бит (формат 8N1). Поэтому фрагмент с полезной нагрузкой L и заголовком h занимает линию на время 10(L + h)/B, где B — скорость интерфейса, и к нему добавляется пауза: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sSub>
                <m:e>
                  <m:r>
                    <w:rPr>
                      <w:rFonts w:ascii="Cambria Math" w:hAnsi="Cambria Math"/>
                    </w:rPr>
                    <m:t xml:space="preserve">t</m:t>
                  </m:r>
                </m:e>
                <m:sub>
                  <m:r>
                    <m:rPr>
                      <m:sty m:val="p"/>
                    </m:rPr>
                    <w:rPr>
                      <w:rFonts w:ascii="Cambria Math" w:hAnsi="Cambria Math"/>
                    </w:rPr>
                    <m:t xml:space="preserve">ф</m:t>
                  </m:r>
                </m:sub>
              </m:sSub>
              <m:r>
                <m:rPr>
                  <m:sty m:val="p"/>
                </m:rPr>
                <w:rPr>
                  <w:rFonts w:ascii="Cambria Math" w:hAnsi="Cambria Math"/>
                </w:rPr>
                <m:t xml:space="preserve"> = </m:t>
              </m:r>
              <m:f>
                <m:num>
                  <m:r>
                    <m:rPr>
                      <m:sty m:val="p"/>
                    </m:rPr>
                    <w:rPr>
                      <w:rFonts w:ascii="Cambria Math" w:hAnsi="Cambria Math"/>
                    </w:rPr>
                    <m:t xml:space="preserve">10</m:t>
                  </m:r>
                  <m:d>
                    <m:e>
                      <m:r>
                        <w:rPr>
                          <w:rFonts w:ascii="Cambria Math" w:hAnsi="Cambria Math"/>
                        </w:rPr>
                        <m:t xml:space="preserve">L</m:t>
                      </m:r>
                      <m:r>
                        <m:rPr>
                          <m:sty m:val="p"/>
                        </m:rPr>
                        <w:rPr>
                          <w:rFonts w:ascii="Cambria Math" w:hAnsi="Cambria Math"/>
                        </w:rPr>
                        <m:t xml:space="preserve"> + </m:t>
                      </m:r>
                      <m:r>
                        <w:rPr>
                          <w:rFonts w:ascii="Cambria Math" w:hAnsi="Cambria Math"/>
                        </w:rPr>
                        <m:t xml:space="preserve">h</m:t>
                      </m:r>
                    </m:e>
                  </m:d>
                </m:num>
                <m:den>
                  <m:r>
                    <w:rPr>
                      <w:rFonts w:ascii="Cambria Math" w:hAnsi="Cambria Math"/>
                    </w:rPr>
                    <m:t xml:space="preserve">B</m:t>
                  </m:r>
                </m:den>
              </m:f>
              <m:r>
                <m:rPr>
                  <m:sty m:val="p"/>
                </m:rPr>
                <w:rPr>
                  <w:rFonts w:ascii="Cambria Math" w:hAnsi="Cambria Math"/>
                </w:rPr>
                <m:t xml:space="preserve"> + </m:t>
              </m:r>
              <m:sSub>
                <m:e>
                  <m:r>
                    <w:rPr>
                      <w:rFonts w:ascii="Cambria Math" w:hAnsi="Cambria Math"/>
                    </w:rPr>
                    <m:t xml:space="preserve">t</m:t>
                  </m:r>
                </m:e>
                <m:sub>
                  <m:r>
                    <m:rPr>
                      <m:sty m:val="p"/>
                    </m:rPr>
                    <w:rPr>
                      <w:rFonts w:ascii="Cambria Math" w:hAnsi="Cambria Math"/>
                    </w:rPr>
                    <m:t xml:space="preserve">паузы</m:t>
                  </m:r>
                </m:sub>
              </m:sSub>
              <m:r>
                <m:rPr>
                  <m:sty m:val="p"/>
                </m:rPr>
                <w:rPr>
                  <w:rFonts w:ascii="Cambria Math" w:hAnsi="Cambria Math"/>
                </w:rPr>
                <m:t xml:space="preserve">,</m:t>
              </m:r>
            </m:oMath>
          </w:p>
        </w:tc>
        <w:tc>
          <w:tcPr>
            <w:tcW w:type="dxa" w:w="1020"/>
            <w:vAlign w:val="center"/>
          </w:tcPr>
          <w:p>
            <w:pPr>
              <w:pStyle w:val="Formula"/>
              <w:jc w:val="right"/>
            </w:pPr>
            <w:r>
              <w:t>(3.2)</w:t>
            </w:r>
          </w:p>
        </w:tc>
      </w:tr>
    </w:tbl>
    <w:p>
      <w:r>
        <w:t>Во фрагменте 8L полезных бит, поэтому полезная скорость интерфейса R = 8L / tф. Результаты расчёта для L = 1400 Б и h = 29 Б (22 Б прикладного заголовка и 7 Б обрамления) приведены в таблице 3.3.</w:t>
      </w:r>
    </w:p>
    <w:p>
      <w:pPr>
        <w:pStyle w:val="TableCaption"/>
        <w:ind w:firstLine="0"/>
      </w:pPr>
      <w:r>
        <w:t>Таблица 3.3 – Расчётный предел пропускной способности интерфейса UART, Мбит/с</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3118"/>
        <w:gridCol w:w="2097"/>
        <w:gridCol w:w="2097"/>
        <w:gridCol w:w="2040"/>
      </w:tblGrid>
      <w:tr>
        <w:trPr>
          <w:cantSplit/>
          <w:tblHeader w:val="true"/>
        </w:trPr>
        <w:tc>
          <w:tcPr>
            <w:tcW w:type="dxa" w:w="3118"/>
            <w:vAlign w:val="center"/>
          </w:tcPr>
          <w:p>
            <w:pPr>
              <w:pStyle w:val="TableText"/>
              <w:keepNext/>
              <w:jc w:val="center"/>
            </w:pPr>
            <w:r>
              <w:rPr>
                <w:b/>
                <w:sz w:val="22"/>
              </w:rPr>
              <w:t>Скорость UART</w:t>
            </w:r>
          </w:p>
        </w:tc>
        <w:tc>
          <w:tcPr>
            <w:tcW w:type="dxa" w:w="2098"/>
            <w:vAlign w:val="center"/>
          </w:tcPr>
          <w:p>
            <w:pPr>
              <w:pStyle w:val="TableText"/>
              <w:keepNext/>
              <w:jc w:val="center"/>
            </w:pPr>
            <w:r>
              <w:rPr>
                <w:b/>
                <w:sz w:val="22"/>
              </w:rPr>
              <w:t>Пауза 3 мс</w:t>
            </w:r>
          </w:p>
        </w:tc>
        <w:tc>
          <w:tcPr>
            <w:tcW w:type="dxa" w:w="2098"/>
            <w:vAlign w:val="center"/>
          </w:tcPr>
          <w:p>
            <w:pPr>
              <w:pStyle w:val="TableText"/>
              <w:keepNext/>
              <w:jc w:val="center"/>
            </w:pPr>
            <w:r>
              <w:rPr>
                <w:b/>
                <w:sz w:val="22"/>
              </w:rPr>
              <w:t>Пауза 1,5 мс</w:t>
            </w:r>
          </w:p>
        </w:tc>
        <w:tc>
          <w:tcPr>
            <w:tcW w:type="dxa" w:w="2041"/>
            <w:vAlign w:val="center"/>
          </w:tcPr>
          <w:p>
            <w:pPr>
              <w:pStyle w:val="TableText"/>
              <w:keepNext/>
              <w:jc w:val="center"/>
            </w:pPr>
            <w:r>
              <w:rPr>
                <w:b/>
                <w:sz w:val="22"/>
              </w:rPr>
              <w:t>Без паузы</w:t>
            </w:r>
          </w:p>
        </w:tc>
      </w:tr>
      <w:tr>
        <w:trPr>
          <w:cantSplit/>
        </w:trPr>
        <w:tc>
          <w:tcPr>
            <w:tcW w:type="dxa" w:w="3118"/>
            <w:vAlign w:val="center"/>
          </w:tcPr>
          <w:p>
            <w:pPr>
              <w:pStyle w:val="TableText"/>
              <w:keepNext/>
              <w:jc w:val="left"/>
            </w:pPr>
            <w:r>
              <w:rPr>
                <w:sz w:val="22"/>
              </w:rPr>
              <w:t>3 Мбод (итоговая)</w:t>
            </w:r>
          </w:p>
        </w:tc>
        <w:tc>
          <w:tcPr>
            <w:tcW w:type="dxa" w:w="2098"/>
            <w:vAlign w:val="center"/>
          </w:tcPr>
          <w:p>
            <w:pPr>
              <w:pStyle w:val="TableText"/>
              <w:keepNext/>
              <w:jc w:val="center"/>
            </w:pPr>
            <w:r>
              <w:rPr>
                <w:sz w:val="22"/>
              </w:rPr>
              <w:t>1,44</w:t>
            </w:r>
          </w:p>
        </w:tc>
        <w:tc>
          <w:tcPr>
            <w:tcW w:type="dxa" w:w="2098"/>
            <w:vAlign w:val="center"/>
          </w:tcPr>
          <w:p>
            <w:pPr>
              <w:pStyle w:val="TableText"/>
              <w:keepNext/>
              <w:jc w:val="center"/>
            </w:pPr>
            <w:r>
              <w:rPr>
                <w:sz w:val="22"/>
              </w:rPr>
              <w:t>1,79</w:t>
            </w:r>
          </w:p>
        </w:tc>
        <w:tc>
          <w:tcPr>
            <w:tcW w:type="dxa" w:w="2041"/>
            <w:vAlign w:val="center"/>
          </w:tcPr>
          <w:p>
            <w:pPr>
              <w:pStyle w:val="TableText"/>
              <w:keepNext/>
              <w:jc w:val="center"/>
            </w:pPr>
            <w:r>
              <w:rPr>
                <w:sz w:val="22"/>
              </w:rPr>
              <w:t>2,35</w:t>
            </w:r>
          </w:p>
        </w:tc>
      </w:tr>
      <w:tr>
        <w:trPr>
          <w:cantSplit/>
        </w:trPr>
        <w:tc>
          <w:tcPr>
            <w:tcW w:type="dxa" w:w="3118"/>
            <w:vAlign w:val="center"/>
          </w:tcPr>
          <w:p>
            <w:pPr>
              <w:pStyle w:val="TableText"/>
              <w:keepNext/>
              <w:jc w:val="left"/>
            </w:pPr>
            <w:r>
              <w:rPr>
                <w:sz w:val="22"/>
              </w:rPr>
              <w:t>4,8 Мбод</w:t>
            </w:r>
          </w:p>
        </w:tc>
        <w:tc>
          <w:tcPr>
            <w:tcW w:type="dxa" w:w="2098"/>
            <w:vAlign w:val="center"/>
          </w:tcPr>
          <w:p>
            <w:pPr>
              <w:pStyle w:val="TableText"/>
              <w:keepNext/>
              <w:jc w:val="center"/>
            </w:pPr>
            <w:r>
              <w:rPr>
                <w:sz w:val="22"/>
              </w:rPr>
              <w:t>1,87</w:t>
            </w:r>
          </w:p>
        </w:tc>
        <w:tc>
          <w:tcPr>
            <w:tcW w:type="dxa" w:w="2098"/>
            <w:vAlign w:val="center"/>
          </w:tcPr>
          <w:p>
            <w:pPr>
              <w:pStyle w:val="TableText"/>
              <w:keepNext/>
              <w:jc w:val="center"/>
            </w:pPr>
            <w:r>
              <w:rPr>
                <w:sz w:val="22"/>
              </w:rPr>
              <w:t>2,50</w:t>
            </w:r>
          </w:p>
        </w:tc>
        <w:tc>
          <w:tcPr>
            <w:tcW w:type="dxa" w:w="2041"/>
            <w:vAlign w:val="center"/>
          </w:tcPr>
          <w:p>
            <w:pPr>
              <w:pStyle w:val="TableText"/>
              <w:keepNext/>
              <w:jc w:val="center"/>
            </w:pPr>
            <w:r>
              <w:rPr>
                <w:sz w:val="22"/>
              </w:rPr>
              <w:t>3,76</w:t>
            </w:r>
          </w:p>
        </w:tc>
      </w:tr>
      <w:tr>
        <w:trPr>
          <w:cantSplit/>
        </w:trPr>
        <w:tc>
          <w:tcPr>
            <w:tcW w:type="dxa" w:w="3118"/>
            <w:vAlign w:val="center"/>
          </w:tcPr>
          <w:p>
            <w:pPr>
              <w:pStyle w:val="TableText"/>
              <w:jc w:val="left"/>
            </w:pPr>
            <w:r>
              <w:rPr>
                <w:sz w:val="22"/>
              </w:rPr>
              <w:t>5 Мбод (предел ESP32-S3)</w:t>
            </w:r>
          </w:p>
        </w:tc>
        <w:tc>
          <w:tcPr>
            <w:tcW w:type="dxa" w:w="2098"/>
            <w:vAlign w:val="center"/>
          </w:tcPr>
          <w:p>
            <w:pPr>
              <w:pStyle w:val="TableText"/>
              <w:jc w:val="center"/>
            </w:pPr>
            <w:r>
              <w:rPr>
                <w:sz w:val="22"/>
              </w:rPr>
              <w:t>1,91</w:t>
            </w:r>
          </w:p>
        </w:tc>
        <w:tc>
          <w:tcPr>
            <w:tcW w:type="dxa" w:w="2098"/>
            <w:vAlign w:val="center"/>
          </w:tcPr>
          <w:p>
            <w:pPr>
              <w:pStyle w:val="TableText"/>
              <w:jc w:val="center"/>
            </w:pPr>
            <w:r>
              <w:rPr>
                <w:sz w:val="22"/>
              </w:rPr>
              <w:t>2,57</w:t>
            </w:r>
          </w:p>
        </w:tc>
        <w:tc>
          <w:tcPr>
            <w:tcW w:type="dxa" w:w="2041"/>
            <w:vAlign w:val="center"/>
          </w:tcPr>
          <w:p>
            <w:pPr>
              <w:pStyle w:val="TableText"/>
              <w:jc w:val="center"/>
            </w:pPr>
            <w:r>
              <w:rPr>
                <w:sz w:val="22"/>
              </w:rPr>
              <w:t>3,92</w:t>
            </w:r>
          </w:p>
        </w:tc>
      </w:tr>
    </w:tbl>
    <w:p>
      <w:pPr>
        <w:spacing w:line="240" w:lineRule="auto"/>
      </w:pPr>
    </w:p>
    <w:p>
      <w:r>
        <w:t>Скорость UART ограничена с обеих сторон: у ESP32-S3 предел составляет 5 Мбод [39], у радиомодуля TX-AH — 6 Мбод. При 5 Мбод поток байтов на линии составляет 4,0 Мбит/с, полезный — 3,92 Мбит/с. Это архитектурный предел платформы: его нельзя превысить никакими программными доработками, пока данные идут через UART, и он ниже скорости физического уровня в канале 2 МГц (6,5 Мбит/с). В итоговой настройке (3 Мбод, пауза 1,5 мс) предел интерфейса — 1,79 Мбит/с; пауза занимает 24 % времени линии. Сокращение паузы дало бы больше, чем повышение скорости интерфейса, но ниже 1,5 мс растёт доля повреждённых фрагментов, поэтому сократить паузу нельзя.</w:t>
      </w:r>
    </w:p>
    <w:p>
      <w:r>
        <w:rPr>
          <w:b/>
        </w:rPr>
        <w:t xml:space="preserve">Кодер. </w:t>
      </w:r>
      <w:r>
        <w:t>На лабораторном этапе программный кодер JPEG на одном ядре сжимал около 1,03 млн пикселей в секунду (видеокадр 42 240 пикселей за 41 мс). Скорость кодера в пикселях в секунду постоянна, поэтому повышение разрешения ничего не давало: кадр с вдвое большим числом пикселей сжимался вдвое дольше, кадров в секунду становилось вдвое меньше, а объём видео в секунду оставался прежним. Это ограничение снял другой кодер — esp_new_jpeg 1.0.2 на двух ядрах: он сжимает видеокадр 320 × 240 за 62–68 мс вместо около 150 мс у прежнего. Частоту видеокадров стал ограничивать сенсор, и это позволило перейти к разрешению 480 × 320 при той же скорости канала.</w:t>
      </w:r>
    </w:p>
    <w:p>
      <w:r>
        <w:rPr>
          <w:b/>
        </w:rPr>
        <w:t xml:space="preserve">Ограничивающее звено — радиоканал. </w:t>
      </w:r>
      <w:r>
        <w:t>После этих доработок звенья проверены по очереди: загружено ли каждое до предела. Интерфейс UART: камера подавала в модуль около 1 Мбит/с, а интерфейс в итоговой настройке (3 Мбод, пауза 1,5 мс) пропускает до 1,79 Мбит/с (таблица 3.3) — он загружен не полностью. Процессор модуля: при передаче видео он простаивает 92–93 % времени — тоже не предел, поэтому ускорение интерфейса (приём через прямой доступ к памяти, 4,8 Мбод) проверено и пользы не дало. Радиоканал: по отчёту радиоуровня модуля камеры на трассе 5 м через стену эфир занят передачей к приёмнику 99 % времени — это предел. Значит, поток ограничивает эфир. Подача около 1 Мбит/с объясняется тем же: камера отправляет новый видеокадр только после квитанции на предыдущие (окно, раздел 3.4), поэтому подаёт в модуль столько, сколько проходит через эфир.</w:t>
      </w:r>
    </w:p>
    <w:p>
      <w:r>
        <w:t>Эфир при этом занят в основном повторами. Модуль отправляет кадры MAC пачками (агрегация), а приёмник подтверждает пачку одним общим ответом (блочное подтверждение). На 57 % пачек этот ответ до камеры не дошёл, и пачку пришлось повторять; доля неудачных попыток (PER) — 60 %, и чтобы доставить один байт видео, модуль в среднем передаёт в эфир 2,4 байта. Опыт с ограничением числа попыток передачи показал, что кадры действительно теряются в эфире: при одной попытке до приёмника не доходит 38 % фрагментов, при двух — 17,7 %, при заводских семи — 6,6 % при отношении сигнал/шум 26–36 дБ. Значит, потери идут в обе стороны: около трети первых передач не доходит до приёмника, и примерно у половины дошедших камера не слышит подтверждения.</w:t>
      </w:r>
    </w:p>
    <w:p>
      <w:r>
        <w:t>Около трети первых передач теряется при сильном сигнале, хотя при таком отношении сигнал/шум ошибки физического уровня должны быть редкими. Опытами исключены: уровень сигнала (на расстоянии 1 м доля неудачных попыток не меньше, чем на 5 м), выбор модуляции (доля почти одинакова на разных MCS), длина кадра (350, 700 и 1400 Б), работа сенсора камеры (с остановленным тактовым сигналом сенсора доля та же), фон платы с камерой (в опытах, где он был близок к собственному шуму приёмника, −101 дБм, потери не исчезали), обмен RTS/CTS, агрегация кадров и время ожидания подтверждения. Остаётся реализация MAC-уровня модуля, но установить точную причину на этой платформе нельзя: программа MAC-уровня поставляется только в машинном коде, исходных текстов нет и у производителя в открытом доступе, а модуль не сообщает, почему кадр не принят — не услышан приёмником или услышан с ошибкой. Эти потери и задают потолок около 1 Мбит/с полезного видео на данной паре плат.</w:t>
      </w:r>
    </w:p>
    <w:p>
      <w:r>
        <w:t>Главный вывод раздела: на лабораторном этапе пропускную способность последовательно ограничивали драйвер UART модуля, паузы между фрагментами и программное сжатие; после их доработки ограничивающим звеном стал радиоканал между платами. Это означает не затухание — на 5 м через стену сигнал сильный, около −53 дБм, — а потери передач: каждый потерянный кадр MAC передаётся повторно, повторы занимают эфир, и на полезное видео остаётся меньше половины его времени. Интерфейс UART задаёт архитектурный предел 3,92 Мбит/с, до которого канал не доходит.</w:t>
      </w:r>
    </w:p>
    <w:p>
      <w:pPr>
        <w:pStyle w:val="Heading2"/>
      </w:pPr>
      <w:r>
        <w:t>3.4 Доработки канала передачи видео и итоговые результаты</w:t>
      </w:r>
    </w:p>
    <w:p>
      <w:r>
        <w:t>Поскольку радиоканал между платами теряет заметную долю передач, доработки последнего этапа направлены не на скорость интерфейса, а на то, чтобы канал с потерями доставлял видео надёжно и не терял дальность. Ниже описаны доработки, относящиеся к радиоканалу.</w:t>
      </w:r>
    </w:p>
    <w:p>
      <w:r>
        <w:rPr>
          <w:b/>
        </w:rPr>
        <w:t xml:space="preserve">Отказ от RTS/CTS. </w:t>
      </w:r>
      <w:r>
        <w:t>Модуль перед каждой длинной посылкой обменивался с приёмником запросом и разрешением на передачу (RTS/CTS), а при большой доле повторов — и перед каждым повтором. В сети из двух узлов, слышащих друг друга, этот обмен — чистый расход эфира. Его выключение (AT+SET_RTS=1000) проверено в опыте из девяти этапов, в которых RTS/CTS попеременно включался и выключался при синтетическом потоке и при видео разного качества. Без RTS/CTS результат лучше на всех девяти этапах, а скорость выше в 1,8–2,2 раза: синтетический поток в среднем с 252 до 463 кбит/с (+84 %), видео с качеством 80 — с 282 до 618 кбит/с; задержка уменьшилась втрое.</w:t>
      </w:r>
    </w:p>
    <w:p>
      <w:r>
        <w:rPr>
          <w:b/>
        </w:rPr>
        <w:t xml:space="preserve">Роли узлов. </w:t>
      </w:r>
      <w:r>
        <w:t>Камера работает точкой доступа (AP), приёмник — станцией (STA). Пока камера была станцией, её широковещательные кадры проходили эфир дважды: сначала модуль отправлял их точке доступа (адресно, с повторами), затем точка рассылала их ещё раз на самой медленной модуляции. Адресная передача убрала второй проход и подняла скорость со 144–175 до 241–312 кбит/с — примерно в 1,7 раза. В роли точки доступа модуль камеры передаёт видео приёмнику адресно, с агрегацией кадров MAC, блочными подтверждениями и повторами; кроме того, на точке доступа работают регулятор мощности и нижняя граница модуляции, поэтому эта роль отдана передающей стороне.</w:t>
      </w:r>
    </w:p>
    <w:p>
      <w:r>
        <w:rPr>
          <w:b/>
        </w:rPr>
        <w:t xml:space="preserve">Квитанция на видеокадр и окно. </w:t>
      </w:r>
      <w:r>
        <w:t>Приёмник подтверждает каждый видеокадр квитанцией, в которой указано, какие фрагменты дошли. Тело квитанции сокращено до 20 Б: опыт показал, что сообщения от приёмника к камере длиннее 27 Б приходят на камеру с ошибкой контрольной суммы, а короче — без ошибок; причина в обратном тракте модуля, предел найден опытом. Камера допускает не более W отправленных, но не подтверждённых видеокадров, а устаревшие видеокадры из очереди удаляет. Окно W = 2 на стенде снизило медиану времени от съёмки видеокадра до квитанции с 1,0 с до 0,1–0,2 с, потери фрагментов — с 9,9 до 0,5 %, долю подтверждённых видеокадров подняло с 75 до 99,2 %: очередь в модуле перестала переполняться. В итоговой версии W = 4: после смены ролей при W = 2 окно было закрыто большую часть времени — камера простаивала в ожидании квитанций, и эфир использовался не полностью; при W = 4 камера успевает подать следующий видеокадр, пока идёт квитанция на предыдущие.</w:t>
      </w:r>
    </w:p>
    <w:p>
      <w:r>
        <w:rPr>
          <w:b/>
        </w:rPr>
        <w:t xml:space="preserve">Гибрид помехоустойчивого кодирования и досылки. </w:t>
      </w:r>
      <w:r>
        <w:t>Радиоканал сам защищает данные двумя ступенями. Первая — свёрточный код физического уровня (по стандарту): к каждому кадру добавляются избыточные биты, и приёмник исправляет отдельные ошибочные биты; если ошибок слишком много, кадр отбрасывается. Вторая — повторы MAC: кадр без подтверждения передаётся снова, до семи раз. Часть фрагментов не доходит и после повторов, и для них в работе реализован собственный третий уровень защиты — помехоустойчивый код на уровне видеокадров в сочетании с досылкой.</w:t>
      </w:r>
    </w:p>
    <w:p>
      <w:r>
        <w:t>Код устроен так. Видеокадр делится на K фрагментов, и камера добавляет к ним M контрольных: g-й контрольный фрагмент — побитовая сумма по модулю 2 (XOR) фрагментов с номерами g, g + M, g + 2M и так далее. Если пропал один фрагмент группы, программа просмотра получает его обратно сложением XOR контрольного фрагмента с остальными фрагментами группы. Группы чередуются, поэтому восстанавливается и серия до M пропавших подряд фрагментов. Код не ищет ошибочные биты, а восстанавливает целиком пропавшие фрагменты, номера которых известны по нумерации.</w:t>
      </w:r>
    </w:p>
    <w:p>
      <w:r>
        <w:t>Число M от 0 до 8 камера раз в 2 с выбирает по последним 48 квитанциям — это около 10 с видео: достаточно, чтобы оценить долю потерь, и достаточно мало, чтобы следовать за изменениями канала. Выбирается M, при котором ожидаемое число целых видеокадров с учётом доли байтов, занятых контрольными фрагментами, наибольшее. Что контрольные фрагменты не закрыли, камера досылает один раз, если видеокадр моложе 1,5 с: более старый кадр уже не нужен для показа в реальном времени. Программа просмотра ждёт недостающие фрагменты до 0,7 с — дольше задержки квитанции (0,34–0,50 с), чтобы досылка успела прийти, — и показывает видеокадры по порядку. На трассе 5 м через стену теряется 2–3 % фрагментов, чаще по 1–2 в видеокадре, поэтому подбор держит M около нуля и работает досылка.</w:t>
      </w:r>
    </w:p>
    <w:p>
      <w:r>
        <w:t>Для сравнения проверена постоянная избыточность: 4 контрольных фрагмента к каждому видеокадру, около 30 % байтов. Она хуже гибрида: 542 кбит/с и 4,6 % потерянных видеокадров против 711–772 кбит/с и 2,4–3,1 % у гибрида в том же канале. Контрольные фрагменты занимают эфир, который и так загружен на 99 %, и сами увеличивают потери.</w:t>
      </w:r>
    </w:p>
    <w:p>
      <w:r>
        <w:rPr>
          <w:b/>
        </w:rPr>
        <w:t xml:space="preserve">Инерция управления качеством. </w:t>
      </w:r>
      <w:r>
        <w:t xml:space="preserve">Качество сжатия JPEG выбирается по медиане задержки квитанций. Без инерции оно колебалось пилообразно с периодом 30–60 с: росло, пока задержка мала, на высоком качестве в модуле накапливалась очередь, качество падало — и снова росло. Инерция запоминает качество, при котором канал перегрузился, в течение 30–120 с не поднимает качество до этого значения, повышает его шагами по 5 и снимает запрет досрочно при свободном канале. Сравнение четырёх этапов по 75 с «выключено — включено — выключено — включено» в одном включении питания показано на рисунке </w:t>
      </w:r>
      <w:r>
        <w:t>3.2</w:t>
      </w:r>
      <w:r>
        <w:t>.</w:t>
      </w:r>
    </w:p>
    <w:p>
      <w:pPr>
        <w:keepNext/>
        <w:ind w:firstLine="0"/>
        <w:jc w:val="center"/>
      </w:pPr>
      <w:r>
        <w:drawing>
          <wp:inline xmlns:a="http://schemas.openxmlformats.org/drawingml/2006/main" xmlns:pic="http://schemas.openxmlformats.org/drawingml/2006/picture">
            <wp:extent cx="5760000" cy="2398486"/>
            <wp:docPr id="5" name="Picture 5"/>
            <wp:cNvGraphicFramePr>
              <a:graphicFrameLocks noChangeAspect="1"/>
            </wp:cNvGraphicFramePr>
            <a:graphic>
              <a:graphicData uri="http://schemas.openxmlformats.org/drawingml/2006/picture">
                <pic:pic>
                  <pic:nvPicPr>
                    <pic:cNvPr id="0" name="fig_inertia.png"/>
                    <pic:cNvPicPr/>
                  </pic:nvPicPr>
                  <pic:blipFill>
                    <a:blip r:embed="rId14"/>
                    <a:stretch>
                      <a:fillRect/>
                    </a:stretch>
                  </pic:blipFill>
                  <pic:spPr>
                    <a:xfrm>
                      <a:off x="0" y="0"/>
                      <a:ext cx="5760000" cy="2398486"/>
                    </a:xfrm>
                    <a:prstGeom prst="rect"/>
                  </pic:spPr>
                </pic:pic>
              </a:graphicData>
            </a:graphic>
          </wp:inline>
        </w:drawing>
      </w:r>
    </w:p>
    <w:p>
      <w:pPr>
        <w:ind w:firstLine="0"/>
        <w:jc w:val="center"/>
      </w:pPr>
      <w:r>
        <w:t>Рисунок 3.2 – Инерция управления качеством: четыре этапа в одном включении питания (трасса 5 м через стену)</w:t>
      </w:r>
    </w:p>
    <w:p>
      <w:r>
        <w:rPr>
          <w:b/>
        </w:rPr>
        <w:t xml:space="preserve">Нижняя граница модуляции по отношению сигнал/шум. </w:t>
      </w:r>
      <w:r>
        <w:t>Заводская цепочка повторов опускает MCS на ступень за каждый повтор, вплоть до MCS 1, а повтор на MCS 1–3 занимает эфир в 1,5–4 раза дольше. Постоянная граница MCS 4 дала +19 % скорости, но сокращает дальность: где MCS 4 не проходит, связь оборвётся раньше. Поэтому граница перенесена во встроенную программу модуля (команда AT+MCSFLR) и ведётся по отношению сигнал/шум, усреднённому по нескольким последним отчётам модуля, чтобы единичный выброс не переключал границу: при SNR не ниже 22, 18, 14 и 10 дБ попытки не опускаются ниже MCS 4, 3, 2 и 1 соответственно, при пропадании связи граница снимается. Регулятор мощности держит SNR в коридоре 20–30 дБ, поэтому вблизи действует граница MCS 4. На дальности мощность достигает предела 14 дБм, SNR падает, и граница снимается: там важна уже не скорость, а сохранение связи, и модуль может опуститься до MCS 0.</w:t>
      </w:r>
    </w:p>
    <w:p>
      <w:r>
        <w:rPr>
          <w:b/>
        </w:rPr>
        <w:t xml:space="preserve">Смена разрешения в процессе передачи. </w:t>
      </w:r>
      <w:r>
        <w:t>Когда канал ухудшается, камера сначала снижает качество сжатия JPEG. Если качество уже опустилось до 30 — ниже картинка становится неразборчивой, — а задержка квитанций продолжает расти, камера уменьшает сам видеокадр: 480 × 320 → 320 × 213 → 240 × 160. Когда канал улучшается и качество поднимается до 80, разрешение возвращается на ступень выше, но не чаще раза в 15 с, чтобы оно не переключалось туда и обратно. Возврат 240 × 160 → 480 × 320 проверен; на трассе 5 м через стену уменьшение не включалось — канал этого не требовал.</w:t>
      </w:r>
    </w:p>
    <w:p>
      <w:r>
        <w:rPr>
          <w:b/>
        </w:rPr>
        <w:t xml:space="preserve">Мощность передатчика. </w:t>
      </w:r>
      <w:r>
        <w:t>Регулятор во встроенной программе модуля держит отношение сигнал/шум, с которым приёмник слышит камеру, в коридоре 20–30 дБ. Нижний край выбран так, чтобы действовала граница MCS 4 (SNR не ниже 22 дБ) и оставался запас на провалы; выше 30 дБ мощность не нужна для связи и только усиливает наводку на камеру. Шаг — 2 дБ в пределах 1–14 дБм; при потере связи мощность сразу поднимается до 14 дБм. От 8 дБм камера снимает только в паузах передачи, чтобы излучение передатчика не искажало захват изображения (раздел 3.5). Отдельной версии программы для дальности нет: одна и та же версия работает на всех расстояниях. На трассе 5 м через стену мощность была 1 дБм в 45 из 49 отчётов, 831 кбит/с полезного видео, 0 искажённых видеокадров из 2786; при просадках отношения сигнал/шум до 12–20 дБ регулятор поднимал мощность до 11–13 дБм и одновременно снималась граница модуляции.</w:t>
      </w:r>
    </w:p>
    <w:p>
      <w:r>
        <w:rPr>
          <w:b/>
        </w:rPr>
        <w:t xml:space="preserve">Сравнение в одном включении. </w:t>
      </w:r>
      <w:r>
        <w:t>Выше описаны основные доработки; настройки меньшего масштаба (пороги, таймеры) заданы в программе стенда. Канал на трассе 5 м через стену меняется в 2–3 раза по времени суток (раздел 2.4), поэтому три главные доработки проверены чередованием «выключено / включено» внутри одного включения питания — по четыре этапа, каждый вариант дважды, как требует методика (раздел 2.4); результаты — в таблице 3.4.</w:t>
      </w:r>
    </w:p>
    <w:p>
      <w:pPr>
        <w:pStyle w:val="TableCaption"/>
        <w:ind w:firstLine="0"/>
      </w:pPr>
      <w:r>
        <w:t>Таблица 3.4 – Парные опыты в одном включении питания (5 м через стену, канал шириной 2 МГц, 867 МГц)</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2267"/>
        <w:gridCol w:w="1700"/>
        <w:gridCol w:w="2721"/>
        <w:gridCol w:w="2664"/>
      </w:tblGrid>
      <w:tr>
        <w:trPr>
          <w:cantSplit/>
          <w:tblHeader w:val="true"/>
        </w:trPr>
        <w:tc>
          <w:tcPr>
            <w:tcW w:type="dxa" w:w="2268"/>
            <w:vAlign w:val="center"/>
          </w:tcPr>
          <w:p>
            <w:pPr>
              <w:pStyle w:val="TableText"/>
              <w:keepNext/>
              <w:jc w:val="center"/>
            </w:pPr>
            <w:r>
              <w:rPr>
                <w:b/>
                <w:sz w:val="22"/>
              </w:rPr>
              <w:t>Доработка</w:t>
            </w:r>
          </w:p>
        </w:tc>
        <w:tc>
          <w:tcPr>
            <w:tcW w:type="dxa" w:w="1701"/>
            <w:vAlign w:val="center"/>
          </w:tcPr>
          <w:p>
            <w:pPr>
              <w:pStyle w:val="TableText"/>
              <w:keepNext/>
              <w:jc w:val="center"/>
            </w:pPr>
            <w:r>
              <w:rPr>
                <w:b/>
                <w:sz w:val="22"/>
              </w:rPr>
              <w:t>Этапов</w:t>
            </w:r>
          </w:p>
        </w:tc>
        <w:tc>
          <w:tcPr>
            <w:tcW w:type="dxa" w:w="2721"/>
            <w:vAlign w:val="center"/>
          </w:tcPr>
          <w:p>
            <w:pPr>
              <w:pStyle w:val="TableText"/>
              <w:keepNext/>
              <w:jc w:val="center"/>
            </w:pPr>
            <w:r>
              <w:rPr>
                <w:b/>
                <w:sz w:val="22"/>
              </w:rPr>
              <w:t>Выключена: полезная скорость, кбит/с; потери видеокадров</w:t>
            </w:r>
          </w:p>
        </w:tc>
        <w:tc>
          <w:tcPr>
            <w:tcW w:type="dxa" w:w="2665"/>
            <w:vAlign w:val="center"/>
          </w:tcPr>
          <w:p>
            <w:pPr>
              <w:pStyle w:val="TableText"/>
              <w:keepNext/>
              <w:jc w:val="center"/>
            </w:pPr>
            <w:r>
              <w:rPr>
                <w:b/>
                <w:sz w:val="22"/>
              </w:rPr>
              <w:t>Включена: полезная скорость, кбит/с; потери видеокадров</w:t>
            </w:r>
          </w:p>
        </w:tc>
      </w:tr>
      <w:tr>
        <w:trPr>
          <w:cantSplit/>
        </w:trPr>
        <w:tc>
          <w:tcPr>
            <w:tcW w:type="dxa" w:w="2268"/>
            <w:vAlign w:val="center"/>
          </w:tcPr>
          <w:p>
            <w:pPr>
              <w:pStyle w:val="TableText"/>
              <w:keepNext/>
              <w:jc w:val="left"/>
            </w:pPr>
            <w:r>
              <w:rPr>
                <w:sz w:val="22"/>
              </w:rPr>
              <w:t>Гибрид кодирования и досылки</w:t>
            </w:r>
          </w:p>
        </w:tc>
        <w:tc>
          <w:tcPr>
            <w:tcW w:type="dxa" w:w="1701"/>
            <w:vAlign w:val="center"/>
          </w:tcPr>
          <w:p>
            <w:pPr>
              <w:pStyle w:val="TableText"/>
              <w:keepNext/>
              <w:jc w:val="center"/>
            </w:pPr>
            <w:r>
              <w:rPr>
                <w:sz w:val="22"/>
              </w:rPr>
              <w:t>4</w:t>
            </w:r>
          </w:p>
        </w:tc>
        <w:tc>
          <w:tcPr>
            <w:tcW w:type="dxa" w:w="2721"/>
            <w:vAlign w:val="center"/>
          </w:tcPr>
          <w:p>
            <w:pPr>
              <w:pStyle w:val="TableText"/>
              <w:keepNext/>
              <w:jc w:val="center"/>
            </w:pPr>
            <w:r>
              <w:rPr>
                <w:sz w:val="22"/>
              </w:rPr>
              <w:t>603 и 752; 12,3 и 10,3 %</w:t>
            </w:r>
          </w:p>
        </w:tc>
        <w:tc>
          <w:tcPr>
            <w:tcW w:type="dxa" w:w="2665"/>
            <w:vAlign w:val="center"/>
          </w:tcPr>
          <w:p>
            <w:pPr>
              <w:pStyle w:val="TableText"/>
              <w:keepNext/>
              <w:jc w:val="center"/>
            </w:pPr>
            <w:r>
              <w:rPr>
                <w:sz w:val="22"/>
              </w:rPr>
              <w:t>711 и 772; 2,4 и 3,1 %</w:t>
            </w:r>
          </w:p>
        </w:tc>
      </w:tr>
      <w:tr>
        <w:trPr>
          <w:cantSplit/>
        </w:trPr>
        <w:tc>
          <w:tcPr>
            <w:tcW w:type="dxa" w:w="2268"/>
            <w:vAlign w:val="center"/>
          </w:tcPr>
          <w:p>
            <w:pPr>
              <w:pStyle w:val="TableText"/>
              <w:keepNext/>
              <w:jc w:val="left"/>
            </w:pPr>
            <w:r>
              <w:rPr>
                <w:sz w:val="22"/>
              </w:rPr>
              <w:t>Инерция управления качеством</w:t>
            </w:r>
          </w:p>
        </w:tc>
        <w:tc>
          <w:tcPr>
            <w:tcW w:type="dxa" w:w="1701"/>
            <w:vAlign w:val="center"/>
          </w:tcPr>
          <w:p>
            <w:pPr>
              <w:pStyle w:val="TableText"/>
              <w:keepNext/>
              <w:jc w:val="center"/>
            </w:pPr>
            <w:r>
              <w:rPr>
                <w:sz w:val="22"/>
              </w:rPr>
              <w:t>4</w:t>
            </w:r>
          </w:p>
        </w:tc>
        <w:tc>
          <w:tcPr>
            <w:tcW w:type="dxa" w:w="2721"/>
            <w:vAlign w:val="center"/>
          </w:tcPr>
          <w:p>
            <w:pPr>
              <w:pStyle w:val="TableText"/>
              <w:keepNext/>
              <w:jc w:val="center"/>
            </w:pPr>
            <w:r>
              <w:rPr>
                <w:sz w:val="22"/>
              </w:rPr>
              <w:t>597 и 414; задержка 709 и 880 мс; 3,4 и 16,5 %</w:t>
            </w:r>
          </w:p>
        </w:tc>
        <w:tc>
          <w:tcPr>
            <w:tcW w:type="dxa" w:w="2665"/>
            <w:vAlign w:val="center"/>
          </w:tcPr>
          <w:p>
            <w:pPr>
              <w:pStyle w:val="TableText"/>
              <w:keepNext/>
              <w:jc w:val="center"/>
            </w:pPr>
            <w:r>
              <w:rPr>
                <w:sz w:val="22"/>
              </w:rPr>
              <w:t>848 и 514; задержка 343 и 349 мс; 0,9 и 3,8 %</w:t>
            </w:r>
          </w:p>
        </w:tc>
      </w:tr>
      <w:tr>
        <w:trPr>
          <w:cantSplit/>
        </w:trPr>
        <w:tc>
          <w:tcPr>
            <w:tcW w:type="dxa" w:w="2268"/>
            <w:vAlign w:val="center"/>
          </w:tcPr>
          <w:p>
            <w:pPr>
              <w:pStyle w:val="TableText"/>
              <w:jc w:val="left"/>
            </w:pPr>
            <w:r>
              <w:rPr>
                <w:sz w:val="22"/>
              </w:rPr>
              <w:t>Граница MCS по отношению сигнал/шум</w:t>
            </w:r>
          </w:p>
        </w:tc>
        <w:tc>
          <w:tcPr>
            <w:tcW w:type="dxa" w:w="1701"/>
            <w:vAlign w:val="center"/>
          </w:tcPr>
          <w:p>
            <w:pPr>
              <w:pStyle w:val="TableText"/>
              <w:jc w:val="center"/>
            </w:pPr>
            <w:r>
              <w:rPr>
                <w:sz w:val="22"/>
              </w:rPr>
              <w:t>4</w:t>
            </w:r>
          </w:p>
        </w:tc>
        <w:tc>
          <w:tcPr>
            <w:tcW w:type="dxa" w:w="2721"/>
            <w:vAlign w:val="center"/>
          </w:tcPr>
          <w:p>
            <w:pPr>
              <w:pStyle w:val="TableText"/>
              <w:jc w:val="center"/>
            </w:pPr>
            <w:r>
              <w:rPr>
                <w:sz w:val="22"/>
              </w:rPr>
              <w:t>371 и 543; 20,1 и 6,1 %</w:t>
            </w:r>
          </w:p>
        </w:tc>
        <w:tc>
          <w:tcPr>
            <w:tcW w:type="dxa" w:w="2665"/>
            <w:vAlign w:val="center"/>
          </w:tcPr>
          <w:p>
            <w:pPr>
              <w:pStyle w:val="TableText"/>
              <w:jc w:val="center"/>
            </w:pPr>
            <w:r>
              <w:rPr>
                <w:sz w:val="22"/>
              </w:rPr>
              <w:t>744 и 804; 3,9 и 3,6 %</w:t>
            </w:r>
          </w:p>
        </w:tc>
      </w:tr>
    </w:tbl>
    <w:p>
      <w:pPr>
        <w:spacing w:line="240" w:lineRule="auto"/>
      </w:pPr>
    </w:p>
    <w:p>
      <w:r>
        <w:t>Каждый вариант «включено» сравнивается с соседним по времени этапом «выключено». Гибрид снизил потери видеокадров с 12,3 и 10,3 до 2,4 и 3,1 %, то есть в 3–5 раз, а скорость не уменьшилась (711 и 772 кбит/с против 603 и 752). Инерция подняла полезную скорость с 597 и 414 до 848 и 514 кбит/с — в среднем на 35 %, снизила задержку с 709 и 880 до 343 и 349 мс — вдвое, а потери с 3,4 и 16,5 до 0,9 и 3,8 % — вчетверо. Граница MCS по уровню сигнала подняла скорость с 371 и 543 до 744 и 804 кбит/с — в 1,5–2 раза — и снизила потери видеокадров с 20,1 и 6,1 до 3,9 и 3,6 % — в 1,7–5 раз, не сокращая дальности.</w:t>
      </w:r>
    </w:p>
    <w:p>
      <w:r>
        <w:rPr>
          <w:b/>
        </w:rPr>
        <w:t xml:space="preserve">Отвергнутые решения. </w:t>
      </w:r>
      <w:r>
        <w:t>Каждое из них проверяло конкретную гипотезу:</w:t>
      </w:r>
    </w:p>
    <w:p>
      <w:r>
        <w:t xml:space="preserve">– </w:t>
      </w:r>
      <w:r>
        <w:t>меньше повторов в модуле и сильнее код на уровне видеокадров — гипотеза, что повторы тратят эфир зря. Опровергнута: первые передачи действительно теряются, и при меньшем числе повторов растут потери, которые код уже не закрывает;</w:t>
      </w:r>
    </w:p>
    <w:p>
      <w:r>
        <w:t xml:space="preserve">– </w:t>
      </w:r>
      <w:r>
        <w:t>постоянная MCS 7 — гипотеза, что модуль теряет время на медленных схемах модуляции. Вблизи быстрее, но на дальности, где MCS 7 не проходит, связь обрывается; постоянная граница MCS 4 и 5 — тот же недостаток, поэтому граница сделана зависящей от сигнала;</w:t>
      </w:r>
    </w:p>
    <w:p>
      <w:r>
        <w:t xml:space="preserve">– </w:t>
      </w:r>
      <w:r>
        <w:t>другая цепочка выбора модуляции в модуле — скорость выше лишь на 3 %, и в двух включениях из трёх модуль перезагружался;</w:t>
      </w:r>
    </w:p>
    <w:p>
      <w:r>
        <w:t xml:space="preserve">– </w:t>
      </w:r>
      <w:r>
        <w:t>выключение агрегации (объединения кадров в пачку) и удлинение ожидания подтверждения — гипотеза, что подтверждения теряются из-за длинных пачек или не успевают прийти. Ни полезная скорость, ни PER не изменились;</w:t>
      </w:r>
    </w:p>
    <w:p>
      <w:r>
        <w:t xml:space="preserve">– </w:t>
      </w:r>
      <w:r>
        <w:t>постоянная мощность 14 дБм — гипотеза, что больший запас по сигналу снизит потери. Потери не снизились (они не зависят от уровня сигнала), а камера захватывала искажённую картинку почти в каждом видеокадре (раздел 3.5);</w:t>
      </w:r>
    </w:p>
    <w:p>
      <w:r>
        <w:t xml:space="preserve">– </w:t>
      </w:r>
      <w:r>
        <w:t>коридор регулятора 25–35 дБ вместо 20–30 дБ — вблизи мощность держалась выше, чем нужно, усиливая наводку на камеру, а скорость не выросла.</w:t>
      </w:r>
    </w:p>
    <w:p>
      <w:r>
        <w:rPr>
          <w:b/>
        </w:rPr>
        <w:t xml:space="preserve">Итоговые результаты по критериям задания. </w:t>
      </w:r>
      <w:r>
        <w:t>Итоговый опыт (трасса 5 м через стену) дал 1063 кбит/с полезного видео 480 × 320 при 5,0 видеокадра в секунду, потеряно 1,4 % видеокадров, мощность передатчика 1 дБм, перезапусков нет. Показатели канала по критериям задания сведены в таблицу 3.5.</w:t>
      </w:r>
    </w:p>
    <w:p>
      <w:pPr>
        <w:pStyle w:val="TableCaption"/>
        <w:ind w:firstLine="0"/>
      </w:pPr>
      <w:r>
        <w:t>Таблица 3.5 – Показатели канала Wi-Fi HaLow на трассе 5 м через стену (итоговая конфигурация)</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3514"/>
        <w:gridCol w:w="2551"/>
        <w:gridCol w:w="3288"/>
      </w:tblGrid>
      <w:tr>
        <w:trPr>
          <w:cantSplit/>
          <w:tblHeader w:val="true"/>
        </w:trPr>
        <w:tc>
          <w:tcPr>
            <w:tcW w:type="dxa" w:w="3515"/>
            <w:vAlign w:val="center"/>
          </w:tcPr>
          <w:p>
            <w:pPr>
              <w:pStyle w:val="TableText"/>
              <w:keepNext/>
              <w:jc w:val="center"/>
            </w:pPr>
            <w:r>
              <w:rPr>
                <w:b/>
                <w:sz w:val="22"/>
              </w:rPr>
              <w:t>Показатель</w:t>
            </w:r>
          </w:p>
        </w:tc>
        <w:tc>
          <w:tcPr>
            <w:tcW w:type="dxa" w:w="2551"/>
            <w:vAlign w:val="center"/>
          </w:tcPr>
          <w:p>
            <w:pPr>
              <w:pStyle w:val="TableText"/>
              <w:keepNext/>
              <w:jc w:val="center"/>
            </w:pPr>
            <w:r>
              <w:rPr>
                <w:b/>
                <w:sz w:val="22"/>
              </w:rPr>
              <w:t>Значение</w:t>
            </w:r>
          </w:p>
        </w:tc>
        <w:tc>
          <w:tcPr>
            <w:tcW w:type="dxa" w:w="3288"/>
            <w:vAlign w:val="center"/>
          </w:tcPr>
          <w:p>
            <w:pPr>
              <w:pStyle w:val="TableText"/>
              <w:keepNext/>
              <w:jc w:val="center"/>
            </w:pPr>
            <w:r>
              <w:rPr>
                <w:b/>
                <w:sz w:val="22"/>
              </w:rPr>
              <w:t>Источник</w:t>
            </w:r>
          </w:p>
        </w:tc>
      </w:tr>
      <w:tr>
        <w:trPr>
          <w:cantSplit/>
        </w:trPr>
        <w:tc>
          <w:tcPr>
            <w:tcW w:type="dxa" w:w="3515"/>
            <w:vAlign w:val="center"/>
          </w:tcPr>
          <w:p>
            <w:pPr>
              <w:pStyle w:val="TableText"/>
              <w:keepNext/>
              <w:jc w:val="left"/>
            </w:pPr>
            <w:r>
              <w:rPr>
                <w:sz w:val="22"/>
              </w:rPr>
              <w:t>Полезная скорость</w:t>
            </w:r>
          </w:p>
        </w:tc>
        <w:tc>
          <w:tcPr>
            <w:tcW w:type="dxa" w:w="2551"/>
            <w:vAlign w:val="center"/>
          </w:tcPr>
          <w:p>
            <w:pPr>
              <w:pStyle w:val="TableText"/>
              <w:keepNext/>
              <w:jc w:val="center"/>
            </w:pPr>
            <w:r>
              <w:rPr>
                <w:sz w:val="22"/>
              </w:rPr>
              <w:t>1063 кбит/с</w:t>
            </w:r>
          </w:p>
        </w:tc>
        <w:tc>
          <w:tcPr>
            <w:tcW w:type="dxa" w:w="3288"/>
            <w:vAlign w:val="center"/>
          </w:tcPr>
          <w:p>
            <w:pPr>
              <w:pStyle w:val="TableText"/>
              <w:keepNext/>
              <w:jc w:val="left"/>
            </w:pPr>
            <w:r>
              <w:rPr>
                <w:sz w:val="22"/>
              </w:rPr>
              <w:t>итоговый опыт</w:t>
            </w:r>
          </w:p>
        </w:tc>
      </w:tr>
      <w:tr>
        <w:trPr>
          <w:cantSplit/>
        </w:trPr>
        <w:tc>
          <w:tcPr>
            <w:tcW w:type="dxa" w:w="3515"/>
            <w:vAlign w:val="center"/>
          </w:tcPr>
          <w:p>
            <w:pPr>
              <w:pStyle w:val="TableText"/>
              <w:keepNext/>
              <w:jc w:val="left"/>
            </w:pPr>
            <w:r>
              <w:rPr>
                <w:sz w:val="22"/>
              </w:rPr>
              <w:t>Разрешение и частота видеокадров</w:t>
            </w:r>
          </w:p>
        </w:tc>
        <w:tc>
          <w:tcPr>
            <w:tcW w:type="dxa" w:w="2551"/>
            <w:vAlign w:val="center"/>
          </w:tcPr>
          <w:p>
            <w:pPr>
              <w:pStyle w:val="TableText"/>
              <w:keepNext/>
              <w:jc w:val="center"/>
            </w:pPr>
            <w:r>
              <w:rPr>
                <w:sz w:val="22"/>
              </w:rPr>
              <w:t>480 × 320, 5,0 кадр/с</w:t>
            </w:r>
          </w:p>
        </w:tc>
        <w:tc>
          <w:tcPr>
            <w:tcW w:type="dxa" w:w="3288"/>
            <w:vAlign w:val="center"/>
          </w:tcPr>
          <w:p>
            <w:pPr>
              <w:pStyle w:val="TableText"/>
              <w:keepNext/>
              <w:jc w:val="left"/>
            </w:pPr>
            <w:r>
              <w:rPr>
                <w:sz w:val="22"/>
              </w:rPr>
              <w:t>итоговый опыт</w:t>
            </w:r>
          </w:p>
        </w:tc>
      </w:tr>
      <w:tr>
        <w:trPr>
          <w:cantSplit/>
        </w:trPr>
        <w:tc>
          <w:tcPr>
            <w:tcW w:type="dxa" w:w="3515"/>
            <w:vAlign w:val="center"/>
          </w:tcPr>
          <w:p>
            <w:pPr>
              <w:pStyle w:val="TableText"/>
              <w:keepNext/>
              <w:jc w:val="left"/>
            </w:pPr>
            <w:r>
              <w:rPr>
                <w:sz w:val="22"/>
              </w:rPr>
              <w:t>Мощность передатчика</w:t>
            </w:r>
          </w:p>
        </w:tc>
        <w:tc>
          <w:tcPr>
            <w:tcW w:type="dxa" w:w="2551"/>
            <w:vAlign w:val="center"/>
          </w:tcPr>
          <w:p>
            <w:pPr>
              <w:pStyle w:val="TableText"/>
              <w:keepNext/>
              <w:jc w:val="center"/>
            </w:pPr>
            <w:r>
              <w:rPr>
                <w:sz w:val="22"/>
              </w:rPr>
              <w:t>1 дБм</w:t>
            </w:r>
          </w:p>
        </w:tc>
        <w:tc>
          <w:tcPr>
            <w:tcW w:type="dxa" w:w="3288"/>
            <w:vAlign w:val="center"/>
          </w:tcPr>
          <w:p>
            <w:pPr>
              <w:pStyle w:val="TableText"/>
              <w:keepNext/>
              <w:jc w:val="left"/>
            </w:pPr>
            <w:r>
              <w:rPr>
                <w:sz w:val="22"/>
              </w:rPr>
              <w:t>итоговый опыт</w:t>
            </w:r>
          </w:p>
        </w:tc>
      </w:tr>
      <w:tr>
        <w:trPr>
          <w:cantSplit/>
        </w:trPr>
        <w:tc>
          <w:tcPr>
            <w:tcW w:type="dxa" w:w="3515"/>
            <w:vAlign w:val="center"/>
          </w:tcPr>
          <w:p>
            <w:pPr>
              <w:pStyle w:val="TableText"/>
              <w:keepNext/>
              <w:jc w:val="left"/>
            </w:pPr>
            <w:r>
              <w:rPr>
                <w:sz w:val="22"/>
              </w:rPr>
              <w:t>Уровень сигнала (RSSI) и отношение сигнал/шум</w:t>
            </w:r>
          </w:p>
        </w:tc>
        <w:tc>
          <w:tcPr>
            <w:tcW w:type="dxa" w:w="2551"/>
            <w:vAlign w:val="center"/>
          </w:tcPr>
          <w:p>
            <w:pPr>
              <w:pStyle w:val="TableText"/>
              <w:keepNext/>
              <w:jc w:val="center"/>
            </w:pPr>
            <w:r>
              <w:rPr>
                <w:sz w:val="22"/>
              </w:rPr>
              <w:t>−53 дБм; 36 дБ (медианы) при мощности 1 дБм: потери на трассе 54 дБ, запас до чувствительности около 48 дБ</w:t>
            </w:r>
          </w:p>
        </w:tc>
        <w:tc>
          <w:tcPr>
            <w:tcW w:type="dxa" w:w="3288"/>
            <w:vAlign w:val="center"/>
          </w:tcPr>
          <w:p>
            <w:pPr>
              <w:pStyle w:val="TableText"/>
              <w:keepNext/>
              <w:jc w:val="left"/>
            </w:pPr>
            <w:r>
              <w:rPr>
                <w:sz w:val="22"/>
              </w:rPr>
              <w:t>отчёты модуля камеры в опыте той же версии программы</w:t>
            </w:r>
          </w:p>
        </w:tc>
      </w:tr>
      <w:tr>
        <w:trPr>
          <w:cantSplit/>
        </w:trPr>
        <w:tc>
          <w:tcPr>
            <w:tcW w:type="dxa" w:w="3515"/>
            <w:vAlign w:val="center"/>
          </w:tcPr>
          <w:p>
            <w:pPr>
              <w:pStyle w:val="TableText"/>
              <w:keepNext/>
              <w:jc w:val="left"/>
            </w:pPr>
            <w:r>
              <w:rPr>
                <w:sz w:val="22"/>
              </w:rPr>
              <w:t>Задержка по квитанции (RTT)</w:t>
            </w:r>
          </w:p>
        </w:tc>
        <w:tc>
          <w:tcPr>
            <w:tcW w:type="dxa" w:w="2551"/>
            <w:vAlign w:val="center"/>
          </w:tcPr>
          <w:p>
            <w:pPr>
              <w:pStyle w:val="TableText"/>
              <w:keepNext/>
              <w:jc w:val="center"/>
            </w:pPr>
            <w:r>
              <w:rPr>
                <w:sz w:val="22"/>
              </w:rPr>
              <w:t>медиана 0,34–0,50 с; в контрольном опыте в среднем 0,42 с, самые медленные видеокадры — до 0,8 с в 9 из 10 отчётов, наибольшая — 1,46 с</w:t>
            </w:r>
          </w:p>
        </w:tc>
        <w:tc>
          <w:tcPr>
            <w:tcW w:type="dxa" w:w="3288"/>
            <w:vAlign w:val="center"/>
          </w:tcPr>
          <w:p>
            <w:pPr>
              <w:pStyle w:val="TableText"/>
              <w:keepNext/>
              <w:jc w:val="left"/>
            </w:pPr>
            <w:r>
              <w:rPr>
                <w:sz w:val="22"/>
              </w:rPr>
              <w:t>опыты с инерцией качества и единой версией программы; контрольный опыт</w:t>
            </w:r>
          </w:p>
        </w:tc>
      </w:tr>
      <w:tr>
        <w:trPr>
          <w:cantSplit/>
        </w:trPr>
        <w:tc>
          <w:tcPr>
            <w:tcW w:type="dxa" w:w="3515"/>
            <w:vAlign w:val="center"/>
          </w:tcPr>
          <w:p>
            <w:pPr>
              <w:pStyle w:val="TableText"/>
              <w:keepNext/>
              <w:jc w:val="left"/>
            </w:pPr>
            <w:r>
              <w:rPr>
                <w:sz w:val="22"/>
              </w:rPr>
              <w:t>Потери видеокадров после кодирования и досылки</w:t>
            </w:r>
          </w:p>
        </w:tc>
        <w:tc>
          <w:tcPr>
            <w:tcW w:type="dxa" w:w="2551"/>
            <w:vAlign w:val="center"/>
          </w:tcPr>
          <w:p>
            <w:pPr>
              <w:pStyle w:val="TableText"/>
              <w:keepNext/>
              <w:jc w:val="center"/>
            </w:pPr>
            <w:r>
              <w:rPr>
                <w:sz w:val="22"/>
              </w:rPr>
              <w:t>1,4 % в итоговом опыте; 0,5–4 % в других опытах той же версии</w:t>
            </w:r>
          </w:p>
        </w:tc>
        <w:tc>
          <w:tcPr>
            <w:tcW w:type="dxa" w:w="3288"/>
            <w:vAlign w:val="center"/>
          </w:tcPr>
          <w:p>
            <w:pPr>
              <w:pStyle w:val="TableText"/>
              <w:keepNext/>
              <w:jc w:val="left"/>
            </w:pPr>
            <w:r>
              <w:rPr>
                <w:sz w:val="22"/>
              </w:rPr>
              <w:t>итоговый опыт и опыты той же версии</w:t>
            </w:r>
          </w:p>
        </w:tc>
      </w:tr>
      <w:tr>
        <w:trPr>
          <w:cantSplit/>
        </w:trPr>
        <w:tc>
          <w:tcPr>
            <w:tcW w:type="dxa" w:w="3515"/>
            <w:vAlign w:val="center"/>
          </w:tcPr>
          <w:p>
            <w:pPr>
              <w:pStyle w:val="TableText"/>
              <w:keepNext/>
              <w:jc w:val="left"/>
            </w:pPr>
            <w:r>
              <w:rPr>
                <w:sz w:val="22"/>
              </w:rPr>
              <w:t>Потери фрагментов после повторов MAC</w:t>
            </w:r>
          </w:p>
        </w:tc>
        <w:tc>
          <w:tcPr>
            <w:tcW w:type="dxa" w:w="2551"/>
            <w:vAlign w:val="center"/>
          </w:tcPr>
          <w:p>
            <w:pPr>
              <w:pStyle w:val="TableText"/>
              <w:keepNext/>
              <w:jc w:val="center"/>
            </w:pPr>
            <w:r>
              <w:rPr>
                <w:sz w:val="22"/>
              </w:rPr>
              <w:t>2–7 %</w:t>
            </w:r>
          </w:p>
        </w:tc>
        <w:tc>
          <w:tcPr>
            <w:tcW w:type="dxa" w:w="3288"/>
            <w:vAlign w:val="center"/>
          </w:tcPr>
          <w:p>
            <w:pPr>
              <w:pStyle w:val="TableText"/>
              <w:keepNext/>
              <w:jc w:val="left"/>
            </w:pPr>
            <w:r>
              <w:rPr>
                <w:sz w:val="22"/>
              </w:rPr>
              <w:t>опыты той же версии</w:t>
            </w:r>
          </w:p>
        </w:tc>
      </w:tr>
      <w:tr>
        <w:trPr>
          <w:cantSplit/>
        </w:trPr>
        <w:tc>
          <w:tcPr>
            <w:tcW w:type="dxa" w:w="3515"/>
            <w:vAlign w:val="center"/>
          </w:tcPr>
          <w:p>
            <w:pPr>
              <w:pStyle w:val="TableText"/>
              <w:jc w:val="left"/>
            </w:pPr>
            <w:r>
              <w:rPr>
                <w:sz w:val="22"/>
              </w:rPr>
              <w:t>PER модуля (доля неудачных попыток)</w:t>
            </w:r>
          </w:p>
        </w:tc>
        <w:tc>
          <w:tcPr>
            <w:tcW w:type="dxa" w:w="2551"/>
            <w:vAlign w:val="center"/>
          </w:tcPr>
          <w:p>
            <w:pPr>
              <w:pStyle w:val="TableText"/>
              <w:jc w:val="center"/>
            </w:pPr>
            <w:r>
              <w:rPr>
                <w:sz w:val="22"/>
              </w:rPr>
              <w:t>50–67 %</w:t>
            </w:r>
          </w:p>
        </w:tc>
        <w:tc>
          <w:tcPr>
            <w:tcW w:type="dxa" w:w="3288"/>
            <w:vAlign w:val="center"/>
          </w:tcPr>
          <w:p>
            <w:pPr>
              <w:pStyle w:val="TableText"/>
              <w:jc w:val="left"/>
            </w:pPr>
            <w:r>
              <w:rPr>
                <w:sz w:val="22"/>
              </w:rPr>
              <w:t>опыты той же версии</w:t>
            </w:r>
          </w:p>
        </w:tc>
      </w:tr>
    </w:tbl>
    <w:p>
      <w:pPr>
        <w:spacing w:line="240" w:lineRule="auto"/>
      </w:pPr>
    </w:p>
    <w:p>
      <w:r>
        <w:t>Высокий PER при малых потерях видеокадров не является противоречием. PER считает неудачной каждую попытку без подтверждения: и повтор, и пробную передачу на другой модуляции, и пачку кадров, на которую не пришло общее подтверждение, даже если данные дошли. Служебные кадры почти всегда доходят, поэтому по всем кадрам модуля PER ниже — 54 %, — а по кадрам с видео к приёмнику — 60 %. Повторы происходят внутри модуля и стоят только эфирного времени: чтобы доставить 1 байт видео, модуль передаёт в среднем 2,4 байта — сам байт, его повторы и служебные данные. Пока эфира хватает, видео доходит: потери фрагментов после повторов MAC составляют единицы процентов, а гибрид кодирования и досылки сводит потери видеокадров к 1,4 %.</w:t>
      </w:r>
    </w:p>
    <w:p>
      <w:r>
        <w:rPr>
          <w:b/>
        </w:rPr>
        <w:t xml:space="preserve">Контрольный опыт. </w:t>
      </w:r>
      <w:r>
        <w:t>Опыт длительностью 282 с выполнен на трассе 5 м через стену с итоговой версией программ. Получено: полезная скорость в среднем 1028 кбит/с (медиана посекундных значений — 1024 кбит/с), 5,6 видеокадра в секунду; показано 1572 видеокадра, потеряно 16 (1,0 %), досылкой восстановлено 35; потери фрагментов после повторов MAC — 1,2 %. Мощность передатчика 1 дБм, уровень сигнала −50 дБм, SNR 36 дБ, нижняя граница модуляции держалась на MCS 4, PER — 68 % (медианы), RTT в среднем 0,42 с. Среднее значение задержки сглаживает выбросы, поэтому отдельно приведён разброс: в каждом отчёте модуля (около 2 с) самый быстрый видеокадр подтверждался за 0,06–0,18 с, самый медленный — в 9 из 10 отчётов не дольше 0,8 с, наибольшая задержка за опыт — 1,46 с. Уровень сигнала −50 дБм получен при мощности передатчика 1 дБм: регулятор снижает мощность, пока запас избыточен, поэтому сам уровень сигнала зависит от мощности, а о трассе говорят потери на ней — 51 дБ — и запас до чувствительности приёмника — около 50 дБ. Фрагмент журнала — в таблице 2.4.</w:t>
      </w:r>
    </w:p>
    <w:p>
      <w:pPr>
        <w:pStyle w:val="Heading2"/>
      </w:pPr>
      <w:r>
        <w:t>3.5 Искажения изображения камеры, наводка передатчика и выбор мощности</w:t>
      </w:r>
    </w:p>
    <w:p>
      <w:r>
        <w:rPr>
          <w:b/>
        </w:rPr>
        <w:t xml:space="preserve">Механизм. </w:t>
      </w:r>
      <w:r>
        <w:t>Часть видеокадров приходила с цветными полосами («радугой») при целой доставке: контрольные суммы CRC16, которые считает процессор камеры, а проверяет программа просмотра (раздел 2.6), у фрагментов и всего видеокадра сходились. Значит, искажение возникало до передачи. Чтобы найти его место, несжатые видеокадры выгружались по USB до кодирования и разбирались на компьютере. В формате RGB565 каждый пиксель занимает два байта: старший и младший. Оказалось, что в какой-то момент сенсор теряет один байт, и все следующие байты сдвигаются на одну позицию: младший байт пикселя читается как старший байт следующего, цвета до конца видеокадра получаются неверными. Если при разборе на компьютере читать эту часть со сдвигом на один байт, картинка восстанавливается. Причину потери байта установили опыты с мощностью передатчика (ниже).</w:t>
      </w:r>
    </w:p>
    <w:p>
      <w:r>
        <w:rPr>
          <w:b/>
        </w:rPr>
        <w:t xml:space="preserve">Программное исправление. </w:t>
      </w:r>
      <w:r>
        <w:t>Процессор камеры проверяет каждый видеокадр до сжатия. Для строки изображения считается «шершавость» — средняя разница цвета соседних пикселей: на настоящей картинке соседние пиксели похожи, а при сдвинутых байтах цвета скачут. Если при чтении со сдвигом на один байт строка заметно глаже, чем при обычном, она «съехала». Первая съехавшая строка указывает, где потерян байт; точное место внутри неё находится последовательным делением участка пополам. Туда вставляется копия соседнего байта, и проверка повторяется: если съехавших строк стало меньше, а картинка не стала шершавее, вставка оставляется, иначе отменяется. В контрольном опыте (лабораторный этап) исправление снизило долю повреждённых видеокадров с 46,1 до 8,9 % и почти вдвое увеличило число целых видеокадров в секунду — 14,8 против 8,1.</w:t>
      </w:r>
    </w:p>
    <w:p>
      <w:r>
        <w:rPr>
          <w:b/>
        </w:rPr>
        <w:t xml:space="preserve">Причина. </w:t>
      </w:r>
      <w:r>
        <w:t xml:space="preserve">Качество захвата менялось от включения к включению без видимой причины. Сравнение двух опытов, различающихся только мощностью передатчика, установило причину (таблица </w:t>
      </w:r>
      <w:r>
        <w:t>3.6</w:t>
      </w:r>
      <w:r>
        <w:t>). Опыты выполнены на лабораторном этапе: помещение, расстояние до 5 м, канал 4 МГц на 866 МГц, мощность 20 дБм — вне рамок решения ГКРЧ.</w:t>
      </w:r>
    </w:p>
    <w:p>
      <w:pPr>
        <w:pStyle w:val="TableCaption"/>
        <w:ind w:firstLine="0"/>
      </w:pPr>
      <w:r>
        <w:t>Таблица 3.6 – Влияние мощности передатчика на захват изображения (лабораторный этап, автоподстройка мощности выключена)</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4251"/>
        <w:gridCol w:w="2551"/>
        <w:gridCol w:w="2551"/>
      </w:tblGrid>
      <w:tr>
        <w:trPr>
          <w:cantSplit/>
          <w:tblHeader w:val="true"/>
        </w:trPr>
        <w:tc>
          <w:tcPr>
            <w:tcW w:type="dxa" w:w="4252"/>
            <w:vAlign w:val="center"/>
          </w:tcPr>
          <w:p>
            <w:pPr>
              <w:pStyle w:val="TableText"/>
              <w:keepNext/>
              <w:jc w:val="center"/>
            </w:pPr>
            <w:r>
              <w:rPr>
                <w:b/>
                <w:sz w:val="22"/>
              </w:rPr>
              <w:t>Показатель</w:t>
            </w:r>
          </w:p>
        </w:tc>
        <w:tc>
          <w:tcPr>
            <w:tcW w:type="dxa" w:w="2551"/>
            <w:vAlign w:val="center"/>
          </w:tcPr>
          <w:p>
            <w:pPr>
              <w:pStyle w:val="TableText"/>
              <w:keepNext/>
              <w:jc w:val="center"/>
            </w:pPr>
            <w:r>
              <w:rPr>
                <w:b/>
                <w:sz w:val="22"/>
              </w:rPr>
              <w:t>1 дБм</w:t>
            </w:r>
          </w:p>
        </w:tc>
        <w:tc>
          <w:tcPr>
            <w:tcW w:type="dxa" w:w="2551"/>
            <w:vAlign w:val="center"/>
          </w:tcPr>
          <w:p>
            <w:pPr>
              <w:pStyle w:val="TableText"/>
              <w:keepNext/>
              <w:jc w:val="center"/>
            </w:pPr>
            <w:r>
              <w:rPr>
                <w:b/>
                <w:sz w:val="22"/>
              </w:rPr>
              <w:t>20 дБм</w:t>
            </w:r>
          </w:p>
        </w:tc>
      </w:tr>
      <w:tr>
        <w:trPr>
          <w:cantSplit/>
        </w:trPr>
        <w:tc>
          <w:tcPr>
            <w:tcW w:type="dxa" w:w="4252"/>
            <w:vAlign w:val="center"/>
          </w:tcPr>
          <w:p>
            <w:pPr>
              <w:pStyle w:val="TableText"/>
              <w:keepNext/>
              <w:jc w:val="left"/>
            </w:pPr>
            <w:r>
              <w:rPr>
                <w:sz w:val="22"/>
              </w:rPr>
              <w:t>Доля повреждённых видеокадров, %</w:t>
            </w:r>
          </w:p>
        </w:tc>
        <w:tc>
          <w:tcPr>
            <w:tcW w:type="dxa" w:w="2551"/>
            <w:vAlign w:val="center"/>
          </w:tcPr>
          <w:p>
            <w:pPr>
              <w:pStyle w:val="TableText"/>
              <w:keepNext/>
              <w:jc w:val="center"/>
            </w:pPr>
            <w:r>
              <w:rPr>
                <w:sz w:val="22"/>
              </w:rPr>
              <w:t>0,0 (0 из 720)</w:t>
            </w:r>
          </w:p>
        </w:tc>
        <w:tc>
          <w:tcPr>
            <w:tcW w:type="dxa" w:w="2551"/>
            <w:vAlign w:val="center"/>
          </w:tcPr>
          <w:p>
            <w:pPr>
              <w:pStyle w:val="TableText"/>
              <w:keepNext/>
              <w:jc w:val="center"/>
            </w:pPr>
            <w:r>
              <w:rPr>
                <w:sz w:val="22"/>
              </w:rPr>
              <w:t>44,4 (512 из 1151)</w:t>
            </w:r>
          </w:p>
        </w:tc>
      </w:tr>
      <w:tr>
        <w:trPr>
          <w:cantSplit/>
        </w:trPr>
        <w:tc>
          <w:tcPr>
            <w:tcW w:type="dxa" w:w="4252"/>
            <w:vAlign w:val="center"/>
          </w:tcPr>
          <w:p>
            <w:pPr>
              <w:pStyle w:val="TableText"/>
              <w:keepNext/>
              <w:jc w:val="left"/>
            </w:pPr>
            <w:r>
              <w:rPr>
                <w:sz w:val="22"/>
              </w:rPr>
              <w:t>Размер видеокадра, Б</w:t>
            </w:r>
          </w:p>
        </w:tc>
        <w:tc>
          <w:tcPr>
            <w:tcW w:type="dxa" w:w="2551"/>
            <w:vAlign w:val="center"/>
          </w:tcPr>
          <w:p>
            <w:pPr>
              <w:pStyle w:val="TableText"/>
              <w:keepNext/>
              <w:jc w:val="center"/>
            </w:pPr>
            <w:r>
              <w:rPr>
                <w:sz w:val="22"/>
              </w:rPr>
              <w:t>4163</w:t>
            </w:r>
          </w:p>
        </w:tc>
        <w:tc>
          <w:tcPr>
            <w:tcW w:type="dxa" w:w="2551"/>
            <w:vAlign w:val="center"/>
          </w:tcPr>
          <w:p>
            <w:pPr>
              <w:pStyle w:val="TableText"/>
              <w:keepNext/>
              <w:jc w:val="center"/>
            </w:pPr>
            <w:r>
              <w:rPr>
                <w:sz w:val="22"/>
              </w:rPr>
              <w:t>7089</w:t>
            </w:r>
          </w:p>
        </w:tc>
      </w:tr>
      <w:tr>
        <w:trPr>
          <w:cantSplit/>
        </w:trPr>
        <w:tc>
          <w:tcPr>
            <w:tcW w:type="dxa" w:w="4252"/>
            <w:vAlign w:val="center"/>
          </w:tcPr>
          <w:p>
            <w:pPr>
              <w:pStyle w:val="TableText"/>
              <w:keepNext/>
              <w:jc w:val="left"/>
            </w:pPr>
            <w:r>
              <w:rPr>
                <w:sz w:val="22"/>
              </w:rPr>
              <w:t>Видеокадров в секунду на приёмнике</w:t>
            </w:r>
          </w:p>
        </w:tc>
        <w:tc>
          <w:tcPr>
            <w:tcW w:type="dxa" w:w="2551"/>
            <w:vAlign w:val="center"/>
          </w:tcPr>
          <w:p>
            <w:pPr>
              <w:pStyle w:val="TableText"/>
              <w:keepNext/>
              <w:jc w:val="center"/>
            </w:pPr>
            <w:r>
              <w:rPr>
                <w:sz w:val="22"/>
              </w:rPr>
              <w:t>19,8</w:t>
            </w:r>
          </w:p>
        </w:tc>
        <w:tc>
          <w:tcPr>
            <w:tcW w:type="dxa" w:w="2551"/>
            <w:vAlign w:val="center"/>
          </w:tcPr>
          <w:p>
            <w:pPr>
              <w:pStyle w:val="TableText"/>
              <w:keepNext/>
              <w:jc w:val="center"/>
            </w:pPr>
            <w:r>
              <w:rPr>
                <w:sz w:val="22"/>
              </w:rPr>
              <w:t>12,8</w:t>
            </w:r>
          </w:p>
        </w:tc>
      </w:tr>
      <w:tr>
        <w:trPr>
          <w:cantSplit/>
        </w:trPr>
        <w:tc>
          <w:tcPr>
            <w:tcW w:type="dxa" w:w="4252"/>
            <w:vAlign w:val="center"/>
          </w:tcPr>
          <w:p>
            <w:pPr>
              <w:pStyle w:val="TableText"/>
              <w:jc w:val="left"/>
            </w:pPr>
            <w:r>
              <w:rPr>
                <w:sz w:val="22"/>
              </w:rPr>
              <w:t>Время передачи видеокадра по UART, мс</w:t>
            </w:r>
          </w:p>
        </w:tc>
        <w:tc>
          <w:tcPr>
            <w:tcW w:type="dxa" w:w="2551"/>
            <w:vAlign w:val="center"/>
          </w:tcPr>
          <w:p>
            <w:pPr>
              <w:pStyle w:val="TableText"/>
              <w:jc w:val="center"/>
            </w:pPr>
            <w:r>
              <w:rPr>
                <w:sz w:val="22"/>
              </w:rPr>
              <w:t>38</w:t>
            </w:r>
          </w:p>
        </w:tc>
        <w:tc>
          <w:tcPr>
            <w:tcW w:type="dxa" w:w="2551"/>
            <w:vAlign w:val="center"/>
          </w:tcPr>
          <w:p>
            <w:pPr>
              <w:pStyle w:val="TableText"/>
              <w:jc w:val="center"/>
            </w:pPr>
            <w:r>
              <w:rPr>
                <w:sz w:val="22"/>
              </w:rPr>
              <w:t>76</w:t>
            </w:r>
          </w:p>
        </w:tc>
      </w:tr>
    </w:tbl>
    <w:p>
      <w:pPr>
        <w:spacing w:line="240" w:lineRule="auto"/>
      </w:pPr>
    </w:p>
    <w:p>
      <w:r>
        <w:t>Повреждения захвата вызваны наводкой собственного передатчика: антенна модуля находится в нескольких сантиметрах от шлейфа камеры, и излучение сбивает тактирование линий DVP. Это установили два опыта, в которых менялось только излучение. В первом (таблица выше) при 1 дБм не повреждён ни один видеокадр, при 20 дБм — 44 %. Во втором камера снимала непрерывно, а передатчик попеременно 5 с работал и 5 с молчал: сдвиг байта возникал только в фазах передачи. Другие возможные причины — питание, нагрев, настройки сенсора — в этих опытах не менялись. Эффект сохраняется и в разрешённых пределах мощности: на трассе 5 м через стену доля искажённых видеокадров при 240 × 176 составила около 15 % при 12 дБм и около 60 % при 14 дБм, при 320 × 240 — 40–60 % уже при 10 дБм. Для БПЛА из этого следует важный вывод: на границе дальности передатчик работает с максимальной мощностью, и именно там наводка на камеру сильнее всего, поэтому захват должен выдерживать максимальную мощность системы.</w:t>
      </w:r>
    </w:p>
    <w:p>
      <w:r>
        <w:rPr>
          <w:b/>
        </w:rPr>
        <w:t xml:space="preserve">Как наводка устранена в итоговой версии. </w:t>
      </w:r>
      <w:r>
        <w:t>Без изменения аппаратной части, двумя программными средствами:</w:t>
      </w:r>
    </w:p>
    <w:p>
      <w:r>
        <w:t xml:space="preserve">– </w:t>
      </w:r>
      <w:r>
        <w:t>регулятор мощности (раздел 3.4) по отношению сигнал/шум держит мощность минимальной, при которой связь устойчива: вблизи — 1 дБм, и на трассе 5 м через стену искажено 0 видеокадров из 2786;</w:t>
      </w:r>
    </w:p>
    <w:p>
      <w:r>
        <w:t xml:space="preserve">– </w:t>
      </w:r>
      <w:r>
        <w:t>когда регулятору приходится поднять мощность до 8 дБм и выше, камера снимает только в паузах передачи: передав очередные видеокадры, модуль замолкает, пока сенсор снимает следующий видеокадр целиком. Без пауз при 14 дБм искажены 99,6–100 % видеокадров, с паузами искажений нет, но частота падает с 5–6 до 1,7 видеокадра в секунду, поэтому паузы включаются только при повышенной мощности.</w:t>
      </w:r>
    </w:p>
    <w:p>
      <w:r>
        <w:rPr>
          <w:b/>
        </w:rPr>
        <w:t xml:space="preserve">Мощность и качество канала на малом расстоянии. </w:t>
      </w:r>
      <w:r>
        <w:t>В паре опытов таблицы 3.6 (лабораторный этап) PER по статистике модуля составил в среднем 38,3 % при 1 дБм и 43,1 % при 20 дБм, а потери фрагментов на приёмнике — 0,83 и 0,25 % соответственно. Разница в несколько процентов меньше колебаний канала: мощность в 100 раз меньше почти не изменила ни PER, ни потери. Это согласуется с подразделом 3.3: потери в эфире не зависят от уровня сигнала. В разрешённой конфигурации большая мощность также не ускоряет канал: на трассе 5 м через стену при постоянной мощности 14 дБм синтетический поток составил 763 кбит/с против 987 кбит/с с регулятором (1 дБм), а видео при 14 дБм теряет ещё и на паузах съёмки — 313 против 734 кбит/с. Мощность передатчика приёмника, которым отправляются квитанции, тоже повышали до 14 дБм: скорость и потери изменились не больше, чем канал меняется сам по себе. Главный эффект мощности на малом расстоянии — наводка на камеру, а не качество канала; мощность нужна на дальности, и её выбор поручен регулятору.</w:t>
      </w:r>
    </w:p>
    <w:p>
      <w:pPr>
        <w:pStyle w:val="Heading2"/>
      </w:pPr>
      <w:r>
        <w:t>3.6 Оценка дальности: расчёт, измерение границы связи и опубликованные данные</w:t>
      </w:r>
    </w:p>
    <w:p>
      <w:r>
        <w:t>Дальность оценивается тремя способами: расчётом энергетического бюджета канала по паспортным данным радиомодуля, измерением границы связи данной пары плат на трассе прямой видимости и сопоставлением с опубликованными натурными данными производителя того же радиомодуля. Допустимые потери на трассе определяются бюджетом</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0"/>
        <w:gridCol w:w="7313"/>
        <w:gridCol w:w="1020"/>
      </w:tblGrid>
      <w:tr>
        <w:tc>
          <w:tcPr>
            <w:tcW w:type="dxa" w:w="1020"/>
            <w:vAlign w:val="center"/>
          </w:tcPr>
          <w:p>
            <w:pPr>
              <w:pStyle w:val="Formula"/>
            </w:pPr>
          </w:p>
        </w:tc>
        <w:tc>
          <w:tcPr>
            <w:tcW w:type="dxa" w:w="7313"/>
            <w:vAlign w:val="center"/>
          </w:tcPr>
          <w:p>
            <w:pPr>
              <w:pStyle w:val="Formula"/>
              <w:jc w:val="center"/>
            </w:pPr>
            <m:oMath>
              <m:sSub>
                <m:e>
                  <m:r>
                    <w:rPr>
                      <w:rFonts w:ascii="Cambria Math" w:hAnsi="Cambria Math"/>
                    </w:rPr>
                    <m:t xml:space="preserve">L</m:t>
                  </m:r>
                </m:e>
                <m:sub>
                  <m:r>
                    <m:rPr>
                      <m:sty m:val="p"/>
                    </m:rPr>
                    <w:rPr>
                      <w:rFonts w:ascii="Cambria Math" w:hAnsi="Cambria Math"/>
                    </w:rPr>
                    <m:t xml:space="preserve">доп</m:t>
                  </m:r>
                </m:sub>
              </m:sSub>
              <m:r>
                <m:rPr>
                  <m:sty m:val="p"/>
                </m:rPr>
                <w:rPr>
                  <w:rFonts w:ascii="Cambria Math" w:hAnsi="Cambria Math"/>
                </w:rPr>
                <m:t xml:space="preserve"> = </m:t>
              </m:r>
              <m:sSub>
                <m:e>
                  <m:r>
                    <w:rPr>
                      <w:rFonts w:ascii="Cambria Math" w:hAnsi="Cambria Math"/>
                    </w:rPr>
                    <m:t xml:space="preserve">P</m:t>
                  </m:r>
                </m:e>
                <m:sub>
                  <m:r>
                    <m:rPr>
                      <m:sty m:val="p"/>
                    </m:rP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G</m:t>
                  </m:r>
                </m:e>
                <m:sub>
                  <m:r>
                    <m:rPr>
                      <m:sty m:val="p"/>
                    </m:rP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G</m:t>
                  </m:r>
                </m:e>
                <m:sub>
                  <m:r>
                    <m:rPr>
                      <m:sty m:val="p"/>
                    </m:rPr>
                    <w:rPr>
                      <w:rFonts w:ascii="Cambria Math" w:hAnsi="Cambria Math"/>
                    </w:rPr>
                    <m:t xml:space="preserve">r</m:t>
                  </m:r>
                </m:sub>
              </m:sSub>
              <m:r>
                <m:rPr>
                  <m:sty m:val="p"/>
                </m:rPr>
                <w:rPr>
                  <w:rFonts w:ascii="Cambria Math" w:hAnsi="Cambria Math"/>
                </w:rPr>
                <m:t xml:space="preserve"> - </m:t>
              </m:r>
              <m:sSub>
                <m:e>
                  <m:r>
                    <w:rPr>
                      <w:rFonts w:ascii="Cambria Math" w:hAnsi="Cambria Math"/>
                    </w:rPr>
                    <m:t xml:space="preserve">P</m:t>
                  </m:r>
                </m:e>
                <m:sub>
                  <m:r>
                    <m:rPr>
                      <m:sty m:val="p"/>
                    </m:rPr>
                    <w:rPr>
                      <w:rFonts w:ascii="Cambria Math" w:hAnsi="Cambria Math"/>
                    </w:rPr>
                    <m:t xml:space="preserve">пор</m:t>
                  </m:r>
                </m:sub>
              </m:sSub>
              <m:r>
                <m:rPr>
                  <m:sty m:val="p"/>
                </m:rPr>
                <w:rPr>
                  <w:rFonts w:ascii="Cambria Math" w:hAnsi="Cambria Math"/>
                </w:rPr>
                <m:t xml:space="preserve">,</m:t>
              </m:r>
            </m:oMath>
          </w:p>
        </w:tc>
        <w:tc>
          <w:tcPr>
            <w:tcW w:type="dxa" w:w="1020"/>
            <w:vAlign w:val="center"/>
          </w:tcPr>
          <w:p>
            <w:pPr>
              <w:pStyle w:val="Formula"/>
              <w:jc w:val="right"/>
            </w:pPr>
            <w:r>
              <w:t>(3.3)</w:t>
            </w:r>
          </w:p>
        </w:tc>
      </w:tr>
    </w:tbl>
    <w:p>
      <w:pPr>
        <w:ind w:firstLine="0"/>
      </w:pPr>
      <w:r>
        <w:t xml:space="preserve">где </w:t>
      </w:r>
      <w:r>
        <w:t>Pₜ — мощность передатчика, дБм; Gₜ, Gᵣ — коэффициенты усиления антенн, дБи; Pпор — чувствительность приёмника для выбранной MCS, дБм. Граница связи — расстояние, на котором потери по модели с запасом M на замирания достигают Lдоп.</w:t>
      </w:r>
    </w:p>
    <w:p>
      <w:r>
        <w:t>Потери рассчитаны по формуле (1.1) для свободного пространства и по двухлучевой модели (формула (2.3)) для наземных антенн на высоте 1,5 м и для антенны на борту БПЛА на высоте 50 м (таблица 3.7); на высоте измерения не проводились.</w:t>
      </w:r>
    </w:p>
    <w:p>
      <w:pPr>
        <w:pStyle w:val="TableCaption"/>
        <w:ind w:firstLine="0"/>
      </w:pPr>
      <w:r>
        <w:t>Таблица 3.7 – Расчётные потери на трассе, 867 МГц</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1984"/>
        <w:gridCol w:w="2437"/>
        <w:gridCol w:w="2437"/>
        <w:gridCol w:w="2494"/>
      </w:tblGrid>
      <w:tr>
        <w:trPr>
          <w:cantSplit/>
          <w:tblHeader w:val="true"/>
        </w:trPr>
        <w:tc>
          <w:tcPr>
            <w:tcW w:type="dxa" w:w="1984"/>
            <w:vAlign w:val="center"/>
          </w:tcPr>
          <w:p>
            <w:pPr>
              <w:pStyle w:val="TableText"/>
              <w:keepNext/>
              <w:jc w:val="center"/>
            </w:pPr>
            <w:r>
              <w:rPr>
                <w:b/>
                <w:sz w:val="22"/>
              </w:rPr>
              <w:t>Расстояние, м</w:t>
            </w:r>
          </w:p>
        </w:tc>
        <w:tc>
          <w:tcPr>
            <w:tcW w:type="dxa" w:w="2438"/>
            <w:vAlign w:val="center"/>
          </w:tcPr>
          <w:p>
            <w:pPr>
              <w:pStyle w:val="TableText"/>
              <w:keepNext/>
              <w:jc w:val="center"/>
            </w:pPr>
            <w:r>
              <w:rPr>
                <w:b/>
                <w:sz w:val="22"/>
              </w:rPr>
              <w:t>Свободное пространство, дБ</w:t>
            </w:r>
          </w:p>
        </w:tc>
        <w:tc>
          <w:tcPr>
            <w:tcW w:type="dxa" w:w="2438"/>
            <w:vAlign w:val="center"/>
          </w:tcPr>
          <w:p>
            <w:pPr>
              <w:pStyle w:val="TableText"/>
              <w:keepNext/>
              <w:jc w:val="center"/>
            </w:pPr>
            <w:r>
              <w:rPr>
                <w:b/>
                <w:sz w:val="22"/>
              </w:rPr>
              <w:t>Двухлучевая, 1,5 / 1,5 м, дБ</w:t>
            </w:r>
          </w:p>
        </w:tc>
        <w:tc>
          <w:tcPr>
            <w:tcW w:type="dxa" w:w="2494"/>
            <w:vAlign w:val="center"/>
          </w:tcPr>
          <w:p>
            <w:pPr>
              <w:pStyle w:val="TableText"/>
              <w:keepNext/>
              <w:jc w:val="center"/>
            </w:pPr>
            <w:r>
              <w:rPr>
                <w:b/>
                <w:sz w:val="22"/>
              </w:rPr>
              <w:t>Двухлучевая, 1,5 / 50 м, дБ</w:t>
            </w:r>
          </w:p>
        </w:tc>
      </w:tr>
      <w:tr>
        <w:trPr>
          <w:cantSplit/>
        </w:trPr>
        <w:tc>
          <w:tcPr>
            <w:tcW w:type="dxa" w:w="1984"/>
            <w:vAlign w:val="center"/>
          </w:tcPr>
          <w:p>
            <w:pPr>
              <w:pStyle w:val="TableText"/>
              <w:keepNext/>
              <w:jc w:val="center"/>
            </w:pPr>
            <w:r>
              <w:rPr>
                <w:sz w:val="22"/>
              </w:rPr>
              <w:t>50</w:t>
            </w:r>
          </w:p>
        </w:tc>
        <w:tc>
          <w:tcPr>
            <w:tcW w:type="dxa" w:w="2438"/>
            <w:vAlign w:val="center"/>
          </w:tcPr>
          <w:p>
            <w:pPr>
              <w:pStyle w:val="TableText"/>
              <w:keepNext/>
              <w:jc w:val="center"/>
            </w:pPr>
            <w:r>
              <w:rPr>
                <w:sz w:val="22"/>
              </w:rPr>
              <w:t>65,2</w:t>
            </w:r>
          </w:p>
        </w:tc>
        <w:tc>
          <w:tcPr>
            <w:tcW w:type="dxa" w:w="2438"/>
            <w:vAlign w:val="center"/>
          </w:tcPr>
          <w:p>
            <w:pPr>
              <w:pStyle w:val="TableText"/>
              <w:keepNext/>
              <w:jc w:val="center"/>
            </w:pPr>
            <w:r>
              <w:rPr>
                <w:sz w:val="22"/>
              </w:rPr>
              <w:t>70,9</w:t>
            </w:r>
          </w:p>
        </w:tc>
        <w:tc>
          <w:tcPr>
            <w:tcW w:type="dxa" w:w="2494"/>
            <w:vAlign w:val="center"/>
          </w:tcPr>
          <w:p>
            <w:pPr>
              <w:pStyle w:val="TableText"/>
              <w:keepNext/>
              <w:jc w:val="center"/>
            </w:pPr>
            <w:r>
              <w:rPr>
                <w:sz w:val="22"/>
              </w:rPr>
              <w:t>65,2</w:t>
            </w:r>
          </w:p>
        </w:tc>
      </w:tr>
      <w:tr>
        <w:trPr>
          <w:cantSplit/>
        </w:trPr>
        <w:tc>
          <w:tcPr>
            <w:tcW w:type="dxa" w:w="1984"/>
            <w:vAlign w:val="center"/>
          </w:tcPr>
          <w:p>
            <w:pPr>
              <w:pStyle w:val="TableText"/>
              <w:keepNext/>
              <w:jc w:val="center"/>
            </w:pPr>
            <w:r>
              <w:rPr>
                <w:sz w:val="22"/>
              </w:rPr>
              <w:t>100</w:t>
            </w:r>
          </w:p>
        </w:tc>
        <w:tc>
          <w:tcPr>
            <w:tcW w:type="dxa" w:w="2438"/>
            <w:vAlign w:val="center"/>
          </w:tcPr>
          <w:p>
            <w:pPr>
              <w:pStyle w:val="TableText"/>
              <w:keepNext/>
              <w:jc w:val="center"/>
            </w:pPr>
            <w:r>
              <w:rPr>
                <w:sz w:val="22"/>
              </w:rPr>
              <w:t>71,2</w:t>
            </w:r>
          </w:p>
        </w:tc>
        <w:tc>
          <w:tcPr>
            <w:tcW w:type="dxa" w:w="2438"/>
            <w:vAlign w:val="center"/>
          </w:tcPr>
          <w:p>
            <w:pPr>
              <w:pStyle w:val="TableText"/>
              <w:keepNext/>
              <w:jc w:val="center"/>
            </w:pPr>
            <w:r>
              <w:rPr>
                <w:sz w:val="22"/>
              </w:rPr>
              <w:t>82,9</w:t>
            </w:r>
          </w:p>
        </w:tc>
        <w:tc>
          <w:tcPr>
            <w:tcW w:type="dxa" w:w="2494"/>
            <w:vAlign w:val="center"/>
          </w:tcPr>
          <w:p>
            <w:pPr>
              <w:pStyle w:val="TableText"/>
              <w:keepNext/>
              <w:jc w:val="center"/>
            </w:pPr>
            <w:r>
              <w:rPr>
                <w:sz w:val="22"/>
              </w:rPr>
              <w:t>71,2</w:t>
            </w:r>
          </w:p>
        </w:tc>
      </w:tr>
      <w:tr>
        <w:trPr>
          <w:cantSplit/>
        </w:trPr>
        <w:tc>
          <w:tcPr>
            <w:tcW w:type="dxa" w:w="1984"/>
            <w:vAlign w:val="center"/>
          </w:tcPr>
          <w:p>
            <w:pPr>
              <w:pStyle w:val="TableText"/>
              <w:keepNext/>
              <w:jc w:val="center"/>
            </w:pPr>
            <w:r>
              <w:rPr>
                <w:sz w:val="22"/>
              </w:rPr>
              <w:t>200</w:t>
            </w:r>
          </w:p>
        </w:tc>
        <w:tc>
          <w:tcPr>
            <w:tcW w:type="dxa" w:w="2438"/>
            <w:vAlign w:val="center"/>
          </w:tcPr>
          <w:p>
            <w:pPr>
              <w:pStyle w:val="TableText"/>
              <w:keepNext/>
              <w:jc w:val="center"/>
            </w:pPr>
            <w:r>
              <w:rPr>
                <w:sz w:val="22"/>
              </w:rPr>
              <w:t>77,2</w:t>
            </w:r>
          </w:p>
        </w:tc>
        <w:tc>
          <w:tcPr>
            <w:tcW w:type="dxa" w:w="2438"/>
            <w:vAlign w:val="center"/>
          </w:tcPr>
          <w:p>
            <w:pPr>
              <w:pStyle w:val="TableText"/>
              <w:keepNext/>
              <w:jc w:val="center"/>
            </w:pPr>
            <w:r>
              <w:rPr>
                <w:sz w:val="22"/>
              </w:rPr>
              <w:t>94,9</w:t>
            </w:r>
          </w:p>
        </w:tc>
        <w:tc>
          <w:tcPr>
            <w:tcW w:type="dxa" w:w="2494"/>
            <w:vAlign w:val="center"/>
          </w:tcPr>
          <w:p>
            <w:pPr>
              <w:pStyle w:val="TableText"/>
              <w:keepNext/>
              <w:jc w:val="center"/>
            </w:pPr>
            <w:r>
              <w:rPr>
                <w:sz w:val="22"/>
              </w:rPr>
              <w:t>77,2</w:t>
            </w:r>
          </w:p>
        </w:tc>
      </w:tr>
      <w:tr>
        <w:trPr>
          <w:cantSplit/>
        </w:trPr>
        <w:tc>
          <w:tcPr>
            <w:tcW w:type="dxa" w:w="1984"/>
            <w:vAlign w:val="center"/>
          </w:tcPr>
          <w:p>
            <w:pPr>
              <w:pStyle w:val="TableText"/>
              <w:keepNext/>
              <w:jc w:val="center"/>
            </w:pPr>
            <w:r>
              <w:rPr>
                <w:sz w:val="22"/>
              </w:rPr>
              <w:t>300</w:t>
            </w:r>
          </w:p>
        </w:tc>
        <w:tc>
          <w:tcPr>
            <w:tcW w:type="dxa" w:w="2438"/>
            <w:vAlign w:val="center"/>
          </w:tcPr>
          <w:p>
            <w:pPr>
              <w:pStyle w:val="TableText"/>
              <w:keepNext/>
              <w:jc w:val="center"/>
            </w:pPr>
            <w:r>
              <w:rPr>
                <w:sz w:val="22"/>
              </w:rPr>
              <w:t>80,7</w:t>
            </w:r>
          </w:p>
        </w:tc>
        <w:tc>
          <w:tcPr>
            <w:tcW w:type="dxa" w:w="2438"/>
            <w:vAlign w:val="center"/>
          </w:tcPr>
          <w:p>
            <w:pPr>
              <w:pStyle w:val="TableText"/>
              <w:keepNext/>
              <w:jc w:val="center"/>
            </w:pPr>
            <w:r>
              <w:rPr>
                <w:sz w:val="22"/>
              </w:rPr>
              <w:t>102,0</w:t>
            </w:r>
          </w:p>
        </w:tc>
        <w:tc>
          <w:tcPr>
            <w:tcW w:type="dxa" w:w="2494"/>
            <w:vAlign w:val="center"/>
          </w:tcPr>
          <w:p>
            <w:pPr>
              <w:pStyle w:val="TableText"/>
              <w:keepNext/>
              <w:jc w:val="center"/>
            </w:pPr>
            <w:r>
              <w:rPr>
                <w:sz w:val="22"/>
              </w:rPr>
              <w:t>80,7</w:t>
            </w:r>
          </w:p>
        </w:tc>
      </w:tr>
      <w:tr>
        <w:trPr>
          <w:cantSplit/>
        </w:trPr>
        <w:tc>
          <w:tcPr>
            <w:tcW w:type="dxa" w:w="1984"/>
            <w:vAlign w:val="center"/>
          </w:tcPr>
          <w:p>
            <w:pPr>
              <w:pStyle w:val="TableText"/>
              <w:keepNext/>
              <w:jc w:val="center"/>
            </w:pPr>
            <w:r>
              <w:rPr>
                <w:sz w:val="22"/>
              </w:rPr>
              <w:t>500</w:t>
            </w:r>
          </w:p>
        </w:tc>
        <w:tc>
          <w:tcPr>
            <w:tcW w:type="dxa" w:w="2438"/>
            <w:vAlign w:val="center"/>
          </w:tcPr>
          <w:p>
            <w:pPr>
              <w:pStyle w:val="TableText"/>
              <w:keepNext/>
              <w:jc w:val="center"/>
            </w:pPr>
            <w:r>
              <w:rPr>
                <w:sz w:val="22"/>
              </w:rPr>
              <w:t>85,2</w:t>
            </w:r>
          </w:p>
        </w:tc>
        <w:tc>
          <w:tcPr>
            <w:tcW w:type="dxa" w:w="2438"/>
            <w:vAlign w:val="center"/>
          </w:tcPr>
          <w:p>
            <w:pPr>
              <w:pStyle w:val="TableText"/>
              <w:keepNext/>
              <w:jc w:val="center"/>
            </w:pPr>
            <w:r>
              <w:rPr>
                <w:sz w:val="22"/>
              </w:rPr>
              <w:t>110,9</w:t>
            </w:r>
          </w:p>
        </w:tc>
        <w:tc>
          <w:tcPr>
            <w:tcW w:type="dxa" w:w="2494"/>
            <w:vAlign w:val="center"/>
          </w:tcPr>
          <w:p>
            <w:pPr>
              <w:pStyle w:val="TableText"/>
              <w:keepNext/>
              <w:jc w:val="center"/>
            </w:pPr>
            <w:r>
              <w:rPr>
                <w:sz w:val="22"/>
              </w:rPr>
              <w:t>85,2</w:t>
            </w:r>
          </w:p>
        </w:tc>
      </w:tr>
      <w:tr>
        <w:trPr>
          <w:cantSplit/>
        </w:trPr>
        <w:tc>
          <w:tcPr>
            <w:tcW w:type="dxa" w:w="1984"/>
            <w:vAlign w:val="center"/>
          </w:tcPr>
          <w:p>
            <w:pPr>
              <w:pStyle w:val="TableText"/>
              <w:keepNext/>
              <w:jc w:val="center"/>
            </w:pPr>
            <w:r>
              <w:rPr>
                <w:sz w:val="22"/>
              </w:rPr>
              <w:t>700</w:t>
            </w:r>
          </w:p>
        </w:tc>
        <w:tc>
          <w:tcPr>
            <w:tcW w:type="dxa" w:w="2438"/>
            <w:vAlign w:val="center"/>
          </w:tcPr>
          <w:p>
            <w:pPr>
              <w:pStyle w:val="TableText"/>
              <w:keepNext/>
              <w:jc w:val="center"/>
            </w:pPr>
            <w:r>
              <w:rPr>
                <w:sz w:val="22"/>
              </w:rPr>
              <w:t>88,1</w:t>
            </w:r>
          </w:p>
        </w:tc>
        <w:tc>
          <w:tcPr>
            <w:tcW w:type="dxa" w:w="2438"/>
            <w:vAlign w:val="center"/>
          </w:tcPr>
          <w:p>
            <w:pPr>
              <w:pStyle w:val="TableText"/>
              <w:keepNext/>
              <w:jc w:val="center"/>
            </w:pPr>
            <w:r>
              <w:rPr>
                <w:sz w:val="22"/>
              </w:rPr>
              <w:t>116,7</w:t>
            </w:r>
          </w:p>
        </w:tc>
        <w:tc>
          <w:tcPr>
            <w:tcW w:type="dxa" w:w="2494"/>
            <w:vAlign w:val="center"/>
          </w:tcPr>
          <w:p>
            <w:pPr>
              <w:pStyle w:val="TableText"/>
              <w:keepNext/>
              <w:jc w:val="center"/>
            </w:pPr>
            <w:r>
              <w:rPr>
                <w:sz w:val="22"/>
              </w:rPr>
              <w:t>88,1</w:t>
            </w:r>
          </w:p>
        </w:tc>
      </w:tr>
      <w:tr>
        <w:trPr>
          <w:cantSplit/>
        </w:trPr>
        <w:tc>
          <w:tcPr>
            <w:tcW w:type="dxa" w:w="1984"/>
            <w:vAlign w:val="center"/>
          </w:tcPr>
          <w:p>
            <w:pPr>
              <w:pStyle w:val="TableText"/>
              <w:keepNext/>
              <w:jc w:val="center"/>
            </w:pPr>
            <w:r>
              <w:rPr>
                <w:sz w:val="22"/>
              </w:rPr>
              <w:t>1000</w:t>
            </w:r>
          </w:p>
        </w:tc>
        <w:tc>
          <w:tcPr>
            <w:tcW w:type="dxa" w:w="2438"/>
            <w:vAlign w:val="center"/>
          </w:tcPr>
          <w:p>
            <w:pPr>
              <w:pStyle w:val="TableText"/>
              <w:keepNext/>
              <w:jc w:val="center"/>
            </w:pPr>
            <w:r>
              <w:rPr>
                <w:sz w:val="22"/>
              </w:rPr>
              <w:t>91,2</w:t>
            </w:r>
          </w:p>
        </w:tc>
        <w:tc>
          <w:tcPr>
            <w:tcW w:type="dxa" w:w="2438"/>
            <w:vAlign w:val="center"/>
          </w:tcPr>
          <w:p>
            <w:pPr>
              <w:pStyle w:val="TableText"/>
              <w:keepNext/>
              <w:jc w:val="center"/>
            </w:pPr>
            <w:r>
              <w:rPr>
                <w:sz w:val="22"/>
              </w:rPr>
              <w:t>122,9</w:t>
            </w:r>
          </w:p>
        </w:tc>
        <w:tc>
          <w:tcPr>
            <w:tcW w:type="dxa" w:w="2494"/>
            <w:vAlign w:val="center"/>
          </w:tcPr>
          <w:p>
            <w:pPr>
              <w:pStyle w:val="TableText"/>
              <w:keepNext/>
              <w:jc w:val="center"/>
            </w:pPr>
            <w:r>
              <w:rPr>
                <w:sz w:val="22"/>
              </w:rPr>
              <w:t>92,4</w:t>
            </w:r>
          </w:p>
        </w:tc>
      </w:tr>
      <w:tr>
        <w:trPr>
          <w:cantSplit/>
        </w:trPr>
        <w:tc>
          <w:tcPr>
            <w:tcW w:type="dxa" w:w="1984"/>
            <w:vAlign w:val="center"/>
          </w:tcPr>
          <w:p>
            <w:pPr>
              <w:pStyle w:val="TableText"/>
              <w:keepNext/>
              <w:jc w:val="center"/>
            </w:pPr>
            <w:r>
              <w:rPr>
                <w:sz w:val="22"/>
              </w:rPr>
              <w:t>1500</w:t>
            </w:r>
          </w:p>
        </w:tc>
        <w:tc>
          <w:tcPr>
            <w:tcW w:type="dxa" w:w="2438"/>
            <w:vAlign w:val="center"/>
          </w:tcPr>
          <w:p>
            <w:pPr>
              <w:pStyle w:val="TableText"/>
              <w:keepNext/>
              <w:jc w:val="center"/>
            </w:pPr>
            <w:r>
              <w:rPr>
                <w:sz w:val="22"/>
              </w:rPr>
              <w:t>94,7</w:t>
            </w:r>
          </w:p>
        </w:tc>
        <w:tc>
          <w:tcPr>
            <w:tcW w:type="dxa" w:w="2438"/>
            <w:vAlign w:val="center"/>
          </w:tcPr>
          <w:p>
            <w:pPr>
              <w:pStyle w:val="TableText"/>
              <w:keepNext/>
              <w:jc w:val="center"/>
            </w:pPr>
            <w:r>
              <w:rPr>
                <w:sz w:val="22"/>
              </w:rPr>
              <w:t>129,9</w:t>
            </w:r>
          </w:p>
        </w:tc>
        <w:tc>
          <w:tcPr>
            <w:tcW w:type="dxa" w:w="2494"/>
            <w:vAlign w:val="center"/>
          </w:tcPr>
          <w:p>
            <w:pPr>
              <w:pStyle w:val="TableText"/>
              <w:keepNext/>
              <w:jc w:val="center"/>
            </w:pPr>
            <w:r>
              <w:rPr>
                <w:sz w:val="22"/>
              </w:rPr>
              <w:t>99,5</w:t>
            </w:r>
          </w:p>
        </w:tc>
      </w:tr>
      <w:tr>
        <w:trPr>
          <w:cantSplit/>
        </w:trPr>
        <w:tc>
          <w:tcPr>
            <w:tcW w:type="dxa" w:w="1984"/>
            <w:vAlign w:val="center"/>
          </w:tcPr>
          <w:p>
            <w:pPr>
              <w:pStyle w:val="TableText"/>
              <w:jc w:val="center"/>
            </w:pPr>
            <w:r>
              <w:rPr>
                <w:sz w:val="22"/>
              </w:rPr>
              <w:t>2000</w:t>
            </w:r>
          </w:p>
        </w:tc>
        <w:tc>
          <w:tcPr>
            <w:tcW w:type="dxa" w:w="2438"/>
            <w:vAlign w:val="center"/>
          </w:tcPr>
          <w:p>
            <w:pPr>
              <w:pStyle w:val="TableText"/>
              <w:jc w:val="center"/>
            </w:pPr>
            <w:r>
              <w:rPr>
                <w:sz w:val="22"/>
              </w:rPr>
              <w:t>97,2</w:t>
            </w:r>
          </w:p>
        </w:tc>
        <w:tc>
          <w:tcPr>
            <w:tcW w:type="dxa" w:w="2438"/>
            <w:vAlign w:val="center"/>
          </w:tcPr>
          <w:p>
            <w:pPr>
              <w:pStyle w:val="TableText"/>
              <w:jc w:val="center"/>
            </w:pPr>
            <w:r>
              <w:rPr>
                <w:sz w:val="22"/>
              </w:rPr>
              <w:t>134,9</w:t>
            </w:r>
          </w:p>
        </w:tc>
        <w:tc>
          <w:tcPr>
            <w:tcW w:type="dxa" w:w="2494"/>
            <w:vAlign w:val="center"/>
          </w:tcPr>
          <w:p>
            <w:pPr>
              <w:pStyle w:val="TableText"/>
              <w:jc w:val="center"/>
            </w:pPr>
            <w:r>
              <w:rPr>
                <w:sz w:val="22"/>
              </w:rPr>
              <w:t>104,5</w:t>
            </w:r>
          </w:p>
        </w:tc>
      </w:tr>
    </w:tbl>
    <w:p>
      <w:pPr>
        <w:spacing w:line="240" w:lineRule="auto"/>
      </w:pPr>
    </w:p>
    <w:p>
      <w:r>
        <w:t>На 1 км двухлучевая модель для наземных антенн даёт на 31,7 дБ больше потерь, чем свободное пространство. Для антенны на высоте 50 м столбцы «свободное пространство» и «1,5 / 50 м» совпадают до 700 м включительно и расходятся с 1000 м: точка излома для этой высоты — 868 м.</w:t>
      </w:r>
    </w:p>
    <w:p>
      <w:r>
        <w:t>Бюджет рассчитан для мощности стенда 14 дБм и антенн 0 дБи (ЭИИМ 14 дБм — в пределах нормы ГКРЧ 25 мВт ЭИМ, то есть 16,15 дБм ЭИИМ, раздел 1.3) с запасом на замирания M = 10 дБ. Такой запас покрывает затенение с отклонением σ до 8 дБ (раздел 2.1) примерно в 90 % случаев. Чувствительность приёмника в канале 2 МГц паспорт не даёт, и в расчёте используется её оценка из раздела 1.3, поэтому и дальности этого канала — оценка; для канала 1 МГц на MCS 10 чувствительность паспортная [17]. Для сравнения на идентичной аппаратной платформе в тот же расчёт включён радиотракт Wi-Fi 2,4 ГГц процессора ESP32-S3 той же платы: ЭИИМ 20 дБм — предел нормы ГКРЧ для 2,4 ГГц (100 мВт), чувствительность паспортная [21]. Результаты расчёта автора — в таблице 3.8.</w:t>
      </w:r>
    </w:p>
    <w:p>
      <w:pPr>
        <w:pStyle w:val="TableCaption"/>
        <w:ind w:firstLine="0"/>
      </w:pPr>
      <w:r>
        <w:t>Таблица 3.8 – Энергетический бюджет и расчётная дальность на одной плате T-HaLow (запас 10 дБ)</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2097"/>
        <w:gridCol w:w="1020"/>
        <w:gridCol w:w="793"/>
        <w:gridCol w:w="1077"/>
        <w:gridCol w:w="793"/>
        <w:gridCol w:w="1190"/>
        <w:gridCol w:w="1190"/>
        <w:gridCol w:w="1190"/>
      </w:tblGrid>
      <w:tr>
        <w:trPr>
          <w:cantSplit/>
          <w:tblHeader w:val="true"/>
        </w:trPr>
        <w:tc>
          <w:tcPr>
            <w:tcW w:type="dxa" w:w="2098"/>
            <w:vAlign w:val="center"/>
          </w:tcPr>
          <w:p>
            <w:pPr>
              <w:pStyle w:val="TableText"/>
              <w:keepNext/>
              <w:jc w:val="center"/>
            </w:pPr>
            <w:r>
              <w:rPr>
                <w:b/>
                <w:sz w:val="20"/>
              </w:rPr>
              <w:t>Режим</w:t>
            </w:r>
          </w:p>
        </w:tc>
        <w:tc>
          <w:tcPr>
            <w:tcW w:type="dxa" w:w="1020"/>
            <w:vAlign w:val="center"/>
          </w:tcPr>
          <w:p>
            <w:pPr>
              <w:pStyle w:val="TableText"/>
              <w:keepNext/>
              <w:jc w:val="center"/>
            </w:pPr>
            <w:r>
              <w:rPr>
                <w:b/>
                <w:sz w:val="20"/>
              </w:rPr>
              <w:t>Скорость PHY, Мбит/с</w:t>
            </w:r>
          </w:p>
        </w:tc>
        <w:tc>
          <w:tcPr>
            <w:tcW w:type="dxa" w:w="794"/>
            <w:vAlign w:val="center"/>
          </w:tcPr>
          <w:p>
            <w:pPr>
              <w:pStyle w:val="TableText"/>
              <w:keepNext/>
              <w:jc w:val="center"/>
            </w:pPr>
            <w:r>
              <w:rPr>
                <w:b/>
                <w:sz w:val="20"/>
              </w:rPr>
              <w:t>ЭИИМ, дБм</w:t>
            </w:r>
          </w:p>
        </w:tc>
        <w:tc>
          <w:tcPr>
            <w:tcW w:type="dxa" w:w="1077"/>
            <w:vAlign w:val="center"/>
          </w:tcPr>
          <w:p>
            <w:pPr>
              <w:pStyle w:val="TableText"/>
              <w:keepNext/>
              <w:jc w:val="center"/>
            </w:pPr>
            <w:r>
              <w:rPr>
                <w:b/>
                <w:sz w:val="20"/>
              </w:rPr>
              <w:t>Чувстви-</w:t>
            </w:r>
          </w:p>
          <w:p>
            <w:pPr>
              <w:pStyle w:val="TableText"/>
              <w:keepNext/>
              <w:jc w:val="center"/>
            </w:pPr>
            <w:r>
              <w:rPr>
                <w:b/>
                <w:sz w:val="20"/>
              </w:rPr>
              <w:t>тельность, дБм</w:t>
            </w:r>
          </w:p>
        </w:tc>
        <w:tc>
          <w:tcPr>
            <w:tcW w:type="dxa" w:w="794"/>
            <w:vAlign w:val="center"/>
          </w:tcPr>
          <w:p>
            <w:pPr>
              <w:pStyle w:val="TableText"/>
              <w:keepNext/>
              <w:jc w:val="center"/>
            </w:pPr>
            <w:r>
              <w:rPr>
                <w:b/>
                <w:sz w:val="20"/>
              </w:rPr>
              <w:t>Lдоп, дБ</w:t>
            </w:r>
          </w:p>
        </w:tc>
        <w:tc>
          <w:tcPr>
            <w:tcW w:type="dxa" w:w="1191"/>
            <w:vAlign w:val="center"/>
          </w:tcPr>
          <w:p>
            <w:pPr>
              <w:pStyle w:val="TableText"/>
              <w:keepNext/>
              <w:jc w:val="center"/>
            </w:pPr>
            <w:r>
              <w:rPr>
                <w:b/>
                <w:sz w:val="20"/>
              </w:rPr>
              <w:t>Дальность, своб. простр., км</w:t>
            </w:r>
          </w:p>
        </w:tc>
        <w:tc>
          <w:tcPr>
            <w:tcW w:type="dxa" w:w="1191"/>
            <w:vAlign w:val="center"/>
          </w:tcPr>
          <w:p>
            <w:pPr>
              <w:pStyle w:val="TableText"/>
              <w:keepNext/>
              <w:jc w:val="center"/>
            </w:pPr>
            <w:r>
              <w:rPr>
                <w:b/>
                <w:sz w:val="20"/>
              </w:rPr>
              <w:t>Дальность, 1,5 / 1,5 м, км</w:t>
            </w:r>
          </w:p>
        </w:tc>
        <w:tc>
          <w:tcPr>
            <w:tcW w:type="dxa" w:w="1191"/>
            <w:vAlign w:val="center"/>
          </w:tcPr>
          <w:p>
            <w:pPr>
              <w:pStyle w:val="TableText"/>
              <w:keepNext/>
              <w:jc w:val="center"/>
            </w:pPr>
            <w:r>
              <w:rPr>
                <w:b/>
                <w:sz w:val="20"/>
              </w:rPr>
              <w:t>Дальность, 1,5 / 50 м, км</w:t>
            </w:r>
          </w:p>
        </w:tc>
      </w:tr>
      <w:tr>
        <w:trPr>
          <w:cantSplit/>
        </w:trPr>
        <w:tc>
          <w:tcPr>
            <w:tcW w:type="dxa" w:w="2098"/>
            <w:vAlign w:val="center"/>
          </w:tcPr>
          <w:p>
            <w:pPr>
              <w:pStyle w:val="TableText"/>
              <w:keepNext/>
              <w:jc w:val="left"/>
            </w:pPr>
            <w:r>
              <w:rPr>
                <w:sz w:val="20"/>
              </w:rPr>
              <w:t>Wi-Fi HaLow, 1 МГц, MCS 10</w:t>
            </w:r>
          </w:p>
        </w:tc>
        <w:tc>
          <w:tcPr>
            <w:tcW w:type="dxa" w:w="1020"/>
            <w:vAlign w:val="center"/>
          </w:tcPr>
          <w:p>
            <w:pPr>
              <w:pStyle w:val="TableText"/>
              <w:keepNext/>
              <w:jc w:val="center"/>
            </w:pPr>
            <w:r>
              <w:rPr>
                <w:sz w:val="20"/>
              </w:rPr>
              <w:t>0,15</w:t>
            </w:r>
          </w:p>
        </w:tc>
        <w:tc>
          <w:tcPr>
            <w:tcW w:type="dxa" w:w="794"/>
            <w:vAlign w:val="center"/>
          </w:tcPr>
          <w:p>
            <w:pPr>
              <w:pStyle w:val="TableText"/>
              <w:keepNext/>
              <w:jc w:val="center"/>
            </w:pPr>
            <w:r>
              <w:rPr>
                <w:sz w:val="20"/>
              </w:rPr>
              <w:t>14</w:t>
            </w:r>
          </w:p>
        </w:tc>
        <w:tc>
          <w:tcPr>
            <w:tcW w:type="dxa" w:w="1077"/>
            <w:vAlign w:val="center"/>
          </w:tcPr>
          <w:p>
            <w:pPr>
              <w:pStyle w:val="TableText"/>
              <w:keepNext/>
              <w:jc w:val="center"/>
            </w:pPr>
            <w:r>
              <w:rPr>
                <w:sz w:val="20"/>
              </w:rPr>
              <w:t>−105,0</w:t>
            </w:r>
          </w:p>
        </w:tc>
        <w:tc>
          <w:tcPr>
            <w:tcW w:type="dxa" w:w="794"/>
            <w:vAlign w:val="center"/>
          </w:tcPr>
          <w:p>
            <w:pPr>
              <w:pStyle w:val="TableText"/>
              <w:keepNext/>
              <w:jc w:val="center"/>
            </w:pPr>
            <w:r>
              <w:rPr>
                <w:sz w:val="20"/>
              </w:rPr>
              <w:t>119,0</w:t>
            </w:r>
          </w:p>
        </w:tc>
        <w:tc>
          <w:tcPr>
            <w:tcW w:type="dxa" w:w="1191"/>
            <w:vAlign w:val="center"/>
          </w:tcPr>
          <w:p>
            <w:pPr>
              <w:pStyle w:val="TableText"/>
              <w:keepNext/>
              <w:jc w:val="center"/>
            </w:pPr>
            <w:r>
              <w:rPr>
                <w:sz w:val="20"/>
              </w:rPr>
              <w:t>7,76</w:t>
            </w:r>
          </w:p>
        </w:tc>
        <w:tc>
          <w:tcPr>
            <w:tcW w:type="dxa" w:w="1191"/>
            <w:vAlign w:val="center"/>
          </w:tcPr>
          <w:p>
            <w:pPr>
              <w:pStyle w:val="TableText"/>
              <w:keepNext/>
              <w:jc w:val="center"/>
            </w:pPr>
            <w:r>
              <w:rPr>
                <w:sz w:val="20"/>
              </w:rPr>
              <w:t>0,45</w:t>
            </w:r>
          </w:p>
        </w:tc>
        <w:tc>
          <w:tcPr>
            <w:tcW w:type="dxa" w:w="1191"/>
            <w:vAlign w:val="center"/>
          </w:tcPr>
          <w:p>
            <w:pPr>
              <w:pStyle w:val="TableText"/>
              <w:keepNext/>
              <w:jc w:val="center"/>
            </w:pPr>
            <w:r>
              <w:rPr>
                <w:sz w:val="20"/>
              </w:rPr>
              <w:t>2,60</w:t>
            </w:r>
          </w:p>
        </w:tc>
      </w:tr>
      <w:tr>
        <w:trPr>
          <w:cantSplit/>
        </w:trPr>
        <w:tc>
          <w:tcPr>
            <w:tcW w:type="dxa" w:w="2098"/>
            <w:vAlign w:val="center"/>
          </w:tcPr>
          <w:p>
            <w:pPr>
              <w:pStyle w:val="TableText"/>
              <w:keepNext/>
              <w:jc w:val="left"/>
            </w:pPr>
            <w:r>
              <w:rPr>
                <w:sz w:val="20"/>
              </w:rPr>
              <w:t>Wi-Fi HaLow, 2 МГц, MCS 0 (оценка)</w:t>
            </w:r>
          </w:p>
        </w:tc>
        <w:tc>
          <w:tcPr>
            <w:tcW w:type="dxa" w:w="1020"/>
            <w:vAlign w:val="center"/>
          </w:tcPr>
          <w:p>
            <w:pPr>
              <w:pStyle w:val="TableText"/>
              <w:keepNext/>
              <w:jc w:val="center"/>
            </w:pPr>
            <w:r>
              <w:rPr>
                <w:sz w:val="20"/>
              </w:rPr>
              <w:t>0,65</w:t>
            </w:r>
          </w:p>
        </w:tc>
        <w:tc>
          <w:tcPr>
            <w:tcW w:type="dxa" w:w="794"/>
            <w:vAlign w:val="center"/>
          </w:tcPr>
          <w:p>
            <w:pPr>
              <w:pStyle w:val="TableText"/>
              <w:keepNext/>
              <w:jc w:val="center"/>
            </w:pPr>
            <w:r>
              <w:rPr>
                <w:sz w:val="20"/>
              </w:rPr>
              <w:t>14</w:t>
            </w:r>
          </w:p>
        </w:tc>
        <w:tc>
          <w:tcPr>
            <w:tcW w:type="dxa" w:w="1077"/>
            <w:vAlign w:val="center"/>
          </w:tcPr>
          <w:p>
            <w:pPr>
              <w:pStyle w:val="TableText"/>
              <w:keepNext/>
              <w:jc w:val="center"/>
            </w:pPr>
            <w:r>
              <w:rPr>
                <w:sz w:val="20"/>
              </w:rPr>
              <w:t>−101,0</w:t>
            </w:r>
          </w:p>
        </w:tc>
        <w:tc>
          <w:tcPr>
            <w:tcW w:type="dxa" w:w="794"/>
            <w:vAlign w:val="center"/>
          </w:tcPr>
          <w:p>
            <w:pPr>
              <w:pStyle w:val="TableText"/>
              <w:keepNext/>
              <w:jc w:val="center"/>
            </w:pPr>
            <w:r>
              <w:rPr>
                <w:sz w:val="20"/>
              </w:rPr>
              <w:t>115,0</w:t>
            </w:r>
          </w:p>
        </w:tc>
        <w:tc>
          <w:tcPr>
            <w:tcW w:type="dxa" w:w="1191"/>
            <w:vAlign w:val="center"/>
          </w:tcPr>
          <w:p>
            <w:pPr>
              <w:pStyle w:val="TableText"/>
              <w:keepNext/>
              <w:jc w:val="center"/>
            </w:pPr>
            <w:r>
              <w:rPr>
                <w:sz w:val="20"/>
              </w:rPr>
              <w:t>4,90</w:t>
            </w:r>
          </w:p>
        </w:tc>
        <w:tc>
          <w:tcPr>
            <w:tcW w:type="dxa" w:w="1191"/>
            <w:vAlign w:val="center"/>
          </w:tcPr>
          <w:p>
            <w:pPr>
              <w:pStyle w:val="TableText"/>
              <w:keepNext/>
              <w:jc w:val="center"/>
            </w:pPr>
            <w:r>
              <w:rPr>
                <w:sz w:val="20"/>
              </w:rPr>
              <w:t>0,36</w:t>
            </w:r>
          </w:p>
        </w:tc>
        <w:tc>
          <w:tcPr>
            <w:tcW w:type="dxa" w:w="1191"/>
            <w:vAlign w:val="center"/>
          </w:tcPr>
          <w:p>
            <w:pPr>
              <w:pStyle w:val="TableText"/>
              <w:keepNext/>
              <w:jc w:val="center"/>
            </w:pPr>
            <w:r>
              <w:rPr>
                <w:sz w:val="20"/>
              </w:rPr>
              <w:t>2,06</w:t>
            </w:r>
          </w:p>
        </w:tc>
      </w:tr>
      <w:tr>
        <w:trPr>
          <w:cantSplit/>
        </w:trPr>
        <w:tc>
          <w:tcPr>
            <w:tcW w:type="dxa" w:w="2098"/>
            <w:vAlign w:val="center"/>
          </w:tcPr>
          <w:p>
            <w:pPr>
              <w:pStyle w:val="TableText"/>
              <w:keepNext/>
              <w:jc w:val="left"/>
            </w:pPr>
            <w:r>
              <w:rPr>
                <w:sz w:val="20"/>
              </w:rPr>
              <w:t>Wi-Fi HaLow, 2 МГц, MCS 7 (оценка)</w:t>
            </w:r>
          </w:p>
        </w:tc>
        <w:tc>
          <w:tcPr>
            <w:tcW w:type="dxa" w:w="1020"/>
            <w:vAlign w:val="center"/>
          </w:tcPr>
          <w:p>
            <w:pPr>
              <w:pStyle w:val="TableText"/>
              <w:keepNext/>
              <w:jc w:val="center"/>
            </w:pPr>
            <w:r>
              <w:rPr>
                <w:sz w:val="20"/>
              </w:rPr>
              <w:t>6,5</w:t>
            </w:r>
          </w:p>
        </w:tc>
        <w:tc>
          <w:tcPr>
            <w:tcW w:type="dxa" w:w="794"/>
            <w:vAlign w:val="center"/>
          </w:tcPr>
          <w:p>
            <w:pPr>
              <w:pStyle w:val="TableText"/>
              <w:keepNext/>
              <w:jc w:val="center"/>
            </w:pPr>
            <w:r>
              <w:rPr>
                <w:sz w:val="20"/>
              </w:rPr>
              <w:t>14</w:t>
            </w:r>
          </w:p>
        </w:tc>
        <w:tc>
          <w:tcPr>
            <w:tcW w:type="dxa" w:w="1077"/>
            <w:vAlign w:val="center"/>
          </w:tcPr>
          <w:p>
            <w:pPr>
              <w:pStyle w:val="TableText"/>
              <w:keepNext/>
              <w:jc w:val="center"/>
            </w:pPr>
            <w:r>
              <w:rPr>
                <w:sz w:val="20"/>
              </w:rPr>
              <w:t>−87,0</w:t>
            </w:r>
          </w:p>
        </w:tc>
        <w:tc>
          <w:tcPr>
            <w:tcW w:type="dxa" w:w="794"/>
            <w:vAlign w:val="center"/>
          </w:tcPr>
          <w:p>
            <w:pPr>
              <w:pStyle w:val="TableText"/>
              <w:keepNext/>
              <w:jc w:val="center"/>
            </w:pPr>
            <w:r>
              <w:rPr>
                <w:sz w:val="20"/>
              </w:rPr>
              <w:t>101,0</w:t>
            </w:r>
          </w:p>
        </w:tc>
        <w:tc>
          <w:tcPr>
            <w:tcW w:type="dxa" w:w="1191"/>
            <w:vAlign w:val="center"/>
          </w:tcPr>
          <w:p>
            <w:pPr>
              <w:pStyle w:val="TableText"/>
              <w:keepNext/>
              <w:jc w:val="center"/>
            </w:pPr>
            <w:r>
              <w:rPr>
                <w:sz w:val="20"/>
              </w:rPr>
              <w:t>0,98</w:t>
            </w:r>
          </w:p>
        </w:tc>
        <w:tc>
          <w:tcPr>
            <w:tcW w:type="dxa" w:w="1191"/>
            <w:vAlign w:val="center"/>
          </w:tcPr>
          <w:p>
            <w:pPr>
              <w:pStyle w:val="TableText"/>
              <w:keepNext/>
              <w:jc w:val="center"/>
            </w:pPr>
            <w:r>
              <w:rPr>
                <w:sz w:val="20"/>
              </w:rPr>
              <w:t>0,16</w:t>
            </w:r>
          </w:p>
        </w:tc>
        <w:tc>
          <w:tcPr>
            <w:tcW w:type="dxa" w:w="1191"/>
            <w:vAlign w:val="center"/>
          </w:tcPr>
          <w:p>
            <w:pPr>
              <w:pStyle w:val="TableText"/>
              <w:keepNext/>
              <w:jc w:val="center"/>
            </w:pPr>
            <w:r>
              <w:rPr>
                <w:sz w:val="20"/>
              </w:rPr>
              <w:t>0,92</w:t>
            </w:r>
          </w:p>
        </w:tc>
      </w:tr>
      <w:tr>
        <w:trPr>
          <w:cantSplit/>
        </w:trPr>
        <w:tc>
          <w:tcPr>
            <w:tcW w:type="dxa" w:w="2098"/>
            <w:vAlign w:val="center"/>
          </w:tcPr>
          <w:p>
            <w:pPr>
              <w:pStyle w:val="TableText"/>
              <w:keepNext/>
              <w:jc w:val="left"/>
            </w:pPr>
            <w:r>
              <w:rPr>
                <w:sz w:val="20"/>
              </w:rPr>
              <w:t>ESP32-S3, 802.11b, 1 Мбит/с</w:t>
            </w:r>
          </w:p>
        </w:tc>
        <w:tc>
          <w:tcPr>
            <w:tcW w:type="dxa" w:w="1020"/>
            <w:vAlign w:val="center"/>
          </w:tcPr>
          <w:p>
            <w:pPr>
              <w:pStyle w:val="TableText"/>
              <w:keepNext/>
              <w:jc w:val="center"/>
            </w:pPr>
            <w:r>
              <w:rPr>
                <w:sz w:val="20"/>
              </w:rPr>
              <w:t>1</w:t>
            </w:r>
          </w:p>
        </w:tc>
        <w:tc>
          <w:tcPr>
            <w:tcW w:type="dxa" w:w="794"/>
            <w:vAlign w:val="center"/>
          </w:tcPr>
          <w:p>
            <w:pPr>
              <w:pStyle w:val="TableText"/>
              <w:keepNext/>
              <w:jc w:val="center"/>
            </w:pPr>
            <w:r>
              <w:rPr>
                <w:sz w:val="20"/>
              </w:rPr>
              <w:t>20</w:t>
            </w:r>
          </w:p>
        </w:tc>
        <w:tc>
          <w:tcPr>
            <w:tcW w:type="dxa" w:w="1077"/>
            <w:vAlign w:val="center"/>
          </w:tcPr>
          <w:p>
            <w:pPr>
              <w:pStyle w:val="TableText"/>
              <w:keepNext/>
              <w:jc w:val="center"/>
            </w:pPr>
            <w:r>
              <w:rPr>
                <w:sz w:val="20"/>
              </w:rPr>
              <w:t>−98,4</w:t>
            </w:r>
          </w:p>
        </w:tc>
        <w:tc>
          <w:tcPr>
            <w:tcW w:type="dxa" w:w="794"/>
            <w:vAlign w:val="center"/>
          </w:tcPr>
          <w:p>
            <w:pPr>
              <w:pStyle w:val="TableText"/>
              <w:keepNext/>
              <w:jc w:val="center"/>
            </w:pPr>
            <w:r>
              <w:rPr>
                <w:sz w:val="20"/>
              </w:rPr>
              <w:t>118,4</w:t>
            </w:r>
          </w:p>
        </w:tc>
        <w:tc>
          <w:tcPr>
            <w:tcW w:type="dxa" w:w="1191"/>
            <w:vAlign w:val="center"/>
          </w:tcPr>
          <w:p>
            <w:pPr>
              <w:pStyle w:val="TableText"/>
              <w:keepNext/>
              <w:jc w:val="center"/>
            </w:pPr>
            <w:r>
              <w:rPr>
                <w:sz w:val="20"/>
              </w:rPr>
              <w:t>2,58</w:t>
            </w:r>
          </w:p>
        </w:tc>
        <w:tc>
          <w:tcPr>
            <w:tcW w:type="dxa" w:w="1191"/>
            <w:vAlign w:val="center"/>
          </w:tcPr>
          <w:p>
            <w:pPr>
              <w:pStyle w:val="TableText"/>
              <w:keepNext/>
              <w:jc w:val="center"/>
            </w:pPr>
            <w:r>
              <w:rPr>
                <w:sz w:val="20"/>
              </w:rPr>
              <w:t>0,43</w:t>
            </w:r>
          </w:p>
        </w:tc>
        <w:tc>
          <w:tcPr>
            <w:tcW w:type="dxa" w:w="1191"/>
            <w:vAlign w:val="center"/>
          </w:tcPr>
          <w:p>
            <w:pPr>
              <w:pStyle w:val="TableText"/>
              <w:keepNext/>
              <w:jc w:val="center"/>
            </w:pPr>
            <w:r>
              <w:rPr>
                <w:sz w:val="20"/>
              </w:rPr>
              <w:t>2,51</w:t>
            </w:r>
          </w:p>
        </w:tc>
      </w:tr>
      <w:tr>
        <w:trPr>
          <w:cantSplit/>
        </w:trPr>
        <w:tc>
          <w:tcPr>
            <w:tcW w:type="dxa" w:w="2098"/>
            <w:vAlign w:val="center"/>
          </w:tcPr>
          <w:p>
            <w:pPr>
              <w:pStyle w:val="TableText"/>
              <w:keepNext/>
              <w:jc w:val="left"/>
            </w:pPr>
            <w:r>
              <w:rPr>
                <w:sz w:val="20"/>
              </w:rPr>
              <w:t>ESP32-S3, 802.11n HT20, MCS 0</w:t>
            </w:r>
          </w:p>
        </w:tc>
        <w:tc>
          <w:tcPr>
            <w:tcW w:type="dxa" w:w="1020"/>
            <w:vAlign w:val="center"/>
          </w:tcPr>
          <w:p>
            <w:pPr>
              <w:pStyle w:val="TableText"/>
              <w:keepNext/>
              <w:jc w:val="center"/>
            </w:pPr>
            <w:r>
              <w:rPr>
                <w:sz w:val="20"/>
              </w:rPr>
              <w:t>6,5</w:t>
            </w:r>
          </w:p>
        </w:tc>
        <w:tc>
          <w:tcPr>
            <w:tcW w:type="dxa" w:w="794"/>
            <w:vAlign w:val="center"/>
          </w:tcPr>
          <w:p>
            <w:pPr>
              <w:pStyle w:val="TableText"/>
              <w:keepNext/>
              <w:jc w:val="center"/>
            </w:pPr>
            <w:r>
              <w:rPr>
                <w:sz w:val="20"/>
              </w:rPr>
              <w:t>20</w:t>
            </w:r>
          </w:p>
        </w:tc>
        <w:tc>
          <w:tcPr>
            <w:tcW w:type="dxa" w:w="1077"/>
            <w:vAlign w:val="center"/>
          </w:tcPr>
          <w:p>
            <w:pPr>
              <w:pStyle w:val="TableText"/>
              <w:keepNext/>
              <w:jc w:val="center"/>
            </w:pPr>
            <w:r>
              <w:rPr>
                <w:sz w:val="20"/>
              </w:rPr>
              <w:t>−92,6</w:t>
            </w:r>
          </w:p>
        </w:tc>
        <w:tc>
          <w:tcPr>
            <w:tcW w:type="dxa" w:w="794"/>
            <w:vAlign w:val="center"/>
          </w:tcPr>
          <w:p>
            <w:pPr>
              <w:pStyle w:val="TableText"/>
              <w:keepNext/>
              <w:jc w:val="center"/>
            </w:pPr>
            <w:r>
              <w:rPr>
                <w:sz w:val="20"/>
              </w:rPr>
              <w:t>112,6</w:t>
            </w:r>
          </w:p>
        </w:tc>
        <w:tc>
          <w:tcPr>
            <w:tcW w:type="dxa" w:w="1191"/>
            <w:vAlign w:val="center"/>
          </w:tcPr>
          <w:p>
            <w:pPr>
              <w:pStyle w:val="TableText"/>
              <w:keepNext/>
              <w:jc w:val="center"/>
            </w:pPr>
            <w:r>
              <w:rPr>
                <w:sz w:val="20"/>
              </w:rPr>
              <w:t>1,32</w:t>
            </w:r>
          </w:p>
        </w:tc>
        <w:tc>
          <w:tcPr>
            <w:tcW w:type="dxa" w:w="1191"/>
            <w:vAlign w:val="center"/>
          </w:tcPr>
          <w:p>
            <w:pPr>
              <w:pStyle w:val="TableText"/>
              <w:keepNext/>
              <w:jc w:val="center"/>
            </w:pPr>
            <w:r>
              <w:rPr>
                <w:sz w:val="20"/>
              </w:rPr>
              <w:t>0,31</w:t>
            </w:r>
          </w:p>
        </w:tc>
        <w:tc>
          <w:tcPr>
            <w:tcW w:type="dxa" w:w="1191"/>
            <w:vAlign w:val="center"/>
          </w:tcPr>
          <w:p>
            <w:pPr>
              <w:pStyle w:val="TableText"/>
              <w:keepNext/>
              <w:jc w:val="center"/>
            </w:pPr>
            <w:r>
              <w:rPr>
                <w:sz w:val="20"/>
              </w:rPr>
              <w:t>1,32</w:t>
            </w:r>
          </w:p>
        </w:tc>
      </w:tr>
      <w:tr>
        <w:trPr>
          <w:cantSplit/>
        </w:trPr>
        <w:tc>
          <w:tcPr>
            <w:tcW w:type="dxa" w:w="2098"/>
            <w:vAlign w:val="center"/>
          </w:tcPr>
          <w:p>
            <w:pPr>
              <w:pStyle w:val="TableText"/>
              <w:jc w:val="left"/>
            </w:pPr>
            <w:r>
              <w:rPr>
                <w:sz w:val="20"/>
              </w:rPr>
              <w:t>ESP32-S3, 802.11n HT20, MCS 7</w:t>
            </w:r>
          </w:p>
        </w:tc>
        <w:tc>
          <w:tcPr>
            <w:tcW w:type="dxa" w:w="1020"/>
            <w:vAlign w:val="center"/>
          </w:tcPr>
          <w:p>
            <w:pPr>
              <w:pStyle w:val="TableText"/>
              <w:jc w:val="center"/>
            </w:pPr>
            <w:r>
              <w:rPr>
                <w:sz w:val="20"/>
              </w:rPr>
              <w:t>65</w:t>
            </w:r>
          </w:p>
        </w:tc>
        <w:tc>
          <w:tcPr>
            <w:tcW w:type="dxa" w:w="794"/>
            <w:vAlign w:val="center"/>
          </w:tcPr>
          <w:p>
            <w:pPr>
              <w:pStyle w:val="TableText"/>
              <w:jc w:val="center"/>
            </w:pPr>
            <w:r>
              <w:rPr>
                <w:sz w:val="20"/>
              </w:rPr>
              <w:t>20</w:t>
            </w:r>
          </w:p>
        </w:tc>
        <w:tc>
          <w:tcPr>
            <w:tcW w:type="dxa" w:w="1077"/>
            <w:vAlign w:val="center"/>
          </w:tcPr>
          <w:p>
            <w:pPr>
              <w:pStyle w:val="TableText"/>
              <w:jc w:val="center"/>
            </w:pPr>
            <w:r>
              <w:rPr>
                <w:sz w:val="20"/>
              </w:rPr>
              <w:t>−74,2</w:t>
            </w:r>
          </w:p>
        </w:tc>
        <w:tc>
          <w:tcPr>
            <w:tcW w:type="dxa" w:w="794"/>
            <w:vAlign w:val="center"/>
          </w:tcPr>
          <w:p>
            <w:pPr>
              <w:pStyle w:val="TableText"/>
              <w:jc w:val="center"/>
            </w:pPr>
            <w:r>
              <w:rPr>
                <w:sz w:val="20"/>
              </w:rPr>
              <w:t>94,2</w:t>
            </w:r>
          </w:p>
        </w:tc>
        <w:tc>
          <w:tcPr>
            <w:tcW w:type="dxa" w:w="1191"/>
            <w:vAlign w:val="center"/>
          </w:tcPr>
          <w:p>
            <w:pPr>
              <w:pStyle w:val="TableText"/>
              <w:jc w:val="center"/>
            </w:pPr>
            <w:r>
              <w:rPr>
                <w:sz w:val="20"/>
              </w:rPr>
              <w:t>0,16</w:t>
            </w:r>
          </w:p>
        </w:tc>
        <w:tc>
          <w:tcPr>
            <w:tcW w:type="dxa" w:w="1191"/>
            <w:vAlign w:val="center"/>
          </w:tcPr>
          <w:p>
            <w:pPr>
              <w:pStyle w:val="TableText"/>
              <w:jc w:val="center"/>
            </w:pPr>
            <w:r>
              <w:rPr>
                <w:sz w:val="20"/>
              </w:rPr>
              <w:t>0,11</w:t>
            </w:r>
          </w:p>
        </w:tc>
        <w:tc>
          <w:tcPr>
            <w:tcW w:type="dxa" w:w="1191"/>
            <w:vAlign w:val="center"/>
          </w:tcPr>
          <w:p>
            <w:pPr>
              <w:pStyle w:val="TableText"/>
              <w:jc w:val="center"/>
            </w:pPr>
            <w:r>
              <w:rPr>
                <w:sz w:val="20"/>
              </w:rPr>
              <w:t>0,16</w:t>
            </w:r>
          </w:p>
        </w:tc>
      </w:tr>
    </w:tbl>
    <w:p>
      <w:pPr>
        <w:spacing w:line="240" w:lineRule="auto"/>
      </w:pPr>
    </w:p>
    <w:p>
      <w:r>
        <w:t>Из расчёта следуют четыре вывода. Первый: в свободном пространстве расчётная граница связи Wi-Fi HaLow в канале 2 МГц по паспортным данным — от 0,98 км на MCS 7 до 4,90 км на MCS 0. Второй: у земли картина иная — для антенн на высоте 1,5 м граница сокращается до 0,16–0,36 км, а подъём антенны на борту до 50 м возвращает её к 0,92–2,06 км. Третий: для видео 1 Мбит/с при полезной скорости 50–70 % номинальной (раздел 2.1) нужна MCS 2–3; их чувствительность паспорт не даёт, поэтому по расчёту граница видеосвязи лежит между дальностями для MCS 0 и MCS 7.</w:t>
      </w:r>
    </w:p>
    <w:p>
      <w:r>
        <w:t>Четвёртый вывод — оговорка для данной платформы. Расчёт считает, что приёму мешает только тепловой шум. Но камера на плате шумит: фон, который измерял модуль платы с камерой, доходил до −60 дБм — на 25–28 дБ выше, чем у платы приёмника без камеры (−85…−88 дБм), — а в другие дни опускался до −90…−101 дБм (раздел 2.2). Плата с камерой принимает подтверждения и квитанции, поэтому в худшем случае её фон ограничивает весь канал: при превышении на 28 дБ граница в свободном пространстве сокращается в 25 раз — до 39 м на MCS 7 и 190 м на MCS 0. Значит, дальности таблицы — возможности радиомодуля, а граница связи данной пары плат лежит между ними и оценкой худшего случая; её измерение приведено ниже.</w:t>
      </w:r>
    </w:p>
    <w:p>
      <w:r>
        <w:t xml:space="preserve">Опубликованные натурные данные производителя радиомодуля (таблица </w:t>
      </w:r>
      <w:r>
        <w:t>3.9</w:t>
      </w:r>
      <w:r>
        <w:t>) получены на мосте и над водой при мощности +20 дБм на частотах 890 и 906 МГц; ширина канала в руководстве не указана, по скорости на 300 м — вероятно, 8 МГц [28]. Паспорт модуля для канала 2 МГц при +20 дБм указывает 1200 м и скорость TCP более 2 Мбит/с [17]. Расчётный уровень приёма в таблице получен по формуле (1.1) для 890 МГц при мощности 20 дБм и антеннах 0 дБи (усиление антенн в руководстве не указано).</w:t>
      </w:r>
    </w:p>
    <w:p>
      <w:pPr>
        <w:pStyle w:val="TableCaption"/>
        <w:ind w:firstLine="0"/>
      </w:pPr>
      <w:r>
        <w:t>Таблица 3.9 – Натурные данные производителя радиомодуля TX-AH [28] и расчёт</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1247"/>
        <w:gridCol w:w="2267"/>
        <w:gridCol w:w="1020"/>
        <w:gridCol w:w="1417"/>
        <w:gridCol w:w="1700"/>
        <w:gridCol w:w="1700"/>
      </w:tblGrid>
      <w:tr>
        <w:trPr>
          <w:cantSplit/>
          <w:tblHeader w:val="true"/>
        </w:trPr>
        <w:tc>
          <w:tcPr>
            <w:tcW w:type="dxa" w:w="1247"/>
            <w:vAlign w:val="center"/>
          </w:tcPr>
          <w:p>
            <w:pPr>
              <w:pStyle w:val="TableText"/>
              <w:keepNext/>
              <w:jc w:val="center"/>
            </w:pPr>
            <w:r>
              <w:rPr>
                <w:b/>
                <w:sz w:val="22"/>
              </w:rPr>
              <w:t>Расстояние, м</w:t>
            </w:r>
          </w:p>
        </w:tc>
        <w:tc>
          <w:tcPr>
            <w:tcW w:type="dxa" w:w="2268"/>
            <w:vAlign w:val="center"/>
          </w:tcPr>
          <w:p>
            <w:pPr>
              <w:pStyle w:val="TableText"/>
              <w:keepNext/>
              <w:jc w:val="center"/>
            </w:pPr>
            <w:r>
              <w:rPr>
                <w:b/>
                <w:sz w:val="22"/>
              </w:rPr>
              <w:t>Условия</w:t>
            </w:r>
          </w:p>
        </w:tc>
        <w:tc>
          <w:tcPr>
            <w:tcW w:type="dxa" w:w="1020"/>
            <w:vAlign w:val="center"/>
          </w:tcPr>
          <w:p>
            <w:pPr>
              <w:pStyle w:val="TableText"/>
              <w:keepNext/>
              <w:jc w:val="center"/>
            </w:pPr>
            <w:r>
              <w:rPr>
                <w:b/>
                <w:sz w:val="22"/>
              </w:rPr>
              <w:t>MCS</w:t>
            </w:r>
          </w:p>
        </w:tc>
        <w:tc>
          <w:tcPr>
            <w:tcW w:type="dxa" w:w="1417"/>
            <w:vAlign w:val="center"/>
          </w:tcPr>
          <w:p>
            <w:pPr>
              <w:pStyle w:val="TableText"/>
              <w:keepNext/>
              <w:jc w:val="center"/>
            </w:pPr>
            <w:r>
              <w:rPr>
                <w:b/>
                <w:sz w:val="22"/>
              </w:rPr>
              <w:t>RSSI, дБм</w:t>
            </w:r>
          </w:p>
        </w:tc>
        <w:tc>
          <w:tcPr>
            <w:tcW w:type="dxa" w:w="1701"/>
            <w:vAlign w:val="center"/>
          </w:tcPr>
          <w:p>
            <w:pPr>
              <w:pStyle w:val="TableText"/>
              <w:keepNext/>
              <w:jc w:val="center"/>
            </w:pPr>
            <w:r>
              <w:rPr>
                <w:b/>
                <w:sz w:val="22"/>
              </w:rPr>
              <w:t>Расчёт, своб. простр., дБм</w:t>
            </w:r>
          </w:p>
        </w:tc>
        <w:tc>
          <w:tcPr>
            <w:tcW w:type="dxa" w:w="1701"/>
            <w:vAlign w:val="center"/>
          </w:tcPr>
          <w:p>
            <w:pPr>
              <w:pStyle w:val="TableText"/>
              <w:keepNext/>
              <w:jc w:val="center"/>
            </w:pPr>
            <w:r>
              <w:rPr>
                <w:b/>
                <w:sz w:val="22"/>
              </w:rPr>
              <w:t>Скорость, Мбит/с</w:t>
            </w:r>
          </w:p>
        </w:tc>
      </w:tr>
      <w:tr>
        <w:trPr>
          <w:cantSplit/>
        </w:trPr>
        <w:tc>
          <w:tcPr>
            <w:tcW w:type="dxa" w:w="1247"/>
            <w:vAlign w:val="center"/>
          </w:tcPr>
          <w:p>
            <w:pPr>
              <w:pStyle w:val="TableText"/>
              <w:keepNext/>
              <w:jc w:val="center"/>
            </w:pPr>
            <w:r>
              <w:rPr>
                <w:sz w:val="22"/>
              </w:rPr>
              <w:t>300</w:t>
            </w:r>
          </w:p>
        </w:tc>
        <w:tc>
          <w:tcPr>
            <w:tcW w:type="dxa" w:w="2268"/>
            <w:vAlign w:val="center"/>
          </w:tcPr>
          <w:p>
            <w:pPr>
              <w:pStyle w:val="TableText"/>
              <w:keepNext/>
              <w:jc w:val="left"/>
            </w:pPr>
            <w:r>
              <w:rPr>
                <w:sz w:val="22"/>
              </w:rPr>
              <w:t>на мосту</w:t>
            </w:r>
          </w:p>
        </w:tc>
        <w:tc>
          <w:tcPr>
            <w:tcW w:type="dxa" w:w="1020"/>
            <w:vAlign w:val="center"/>
          </w:tcPr>
          <w:p>
            <w:pPr>
              <w:pStyle w:val="TableText"/>
              <w:keepNext/>
              <w:jc w:val="center"/>
            </w:pPr>
            <w:r>
              <w:rPr>
                <w:sz w:val="22"/>
              </w:rPr>
              <w:t>6–7</w:t>
            </w:r>
          </w:p>
        </w:tc>
        <w:tc>
          <w:tcPr>
            <w:tcW w:type="dxa" w:w="1417"/>
            <w:vAlign w:val="center"/>
          </w:tcPr>
          <w:p>
            <w:pPr>
              <w:pStyle w:val="TableText"/>
              <w:keepNext/>
              <w:jc w:val="center"/>
            </w:pPr>
            <w:r>
              <w:rPr>
                <w:sz w:val="22"/>
              </w:rPr>
              <w:t>−59…−61</w:t>
            </w:r>
          </w:p>
        </w:tc>
        <w:tc>
          <w:tcPr>
            <w:tcW w:type="dxa" w:w="1701"/>
            <w:vAlign w:val="center"/>
          </w:tcPr>
          <w:p>
            <w:pPr>
              <w:pStyle w:val="TableText"/>
              <w:keepNext/>
              <w:jc w:val="center"/>
            </w:pPr>
            <w:r>
              <w:rPr>
                <w:sz w:val="22"/>
              </w:rPr>
              <w:t>−61,0</w:t>
            </w:r>
          </w:p>
        </w:tc>
        <w:tc>
          <w:tcPr>
            <w:tcW w:type="dxa" w:w="1701"/>
            <w:vAlign w:val="center"/>
          </w:tcPr>
          <w:p>
            <w:pPr>
              <w:pStyle w:val="TableText"/>
              <w:keepNext/>
              <w:jc w:val="center"/>
            </w:pPr>
            <w:r>
              <w:rPr>
                <w:sz w:val="22"/>
              </w:rPr>
              <w:t>≈ 14,8–15,1</w:t>
            </w:r>
          </w:p>
        </w:tc>
      </w:tr>
      <w:tr>
        <w:trPr>
          <w:cantSplit/>
        </w:trPr>
        <w:tc>
          <w:tcPr>
            <w:tcW w:type="dxa" w:w="1247"/>
            <w:vAlign w:val="center"/>
          </w:tcPr>
          <w:p>
            <w:pPr>
              <w:pStyle w:val="TableText"/>
              <w:keepNext/>
              <w:jc w:val="center"/>
            </w:pPr>
            <w:r>
              <w:rPr>
                <w:sz w:val="22"/>
              </w:rPr>
              <w:t>600</w:t>
            </w:r>
          </w:p>
        </w:tc>
        <w:tc>
          <w:tcPr>
            <w:tcW w:type="dxa" w:w="2268"/>
            <w:vAlign w:val="center"/>
          </w:tcPr>
          <w:p>
            <w:pPr>
              <w:pStyle w:val="TableText"/>
              <w:keepNext/>
              <w:jc w:val="left"/>
            </w:pPr>
            <w:r>
              <w:rPr>
                <w:sz w:val="22"/>
              </w:rPr>
              <w:t>на мосту, ведомый поднят</w:t>
            </w:r>
          </w:p>
        </w:tc>
        <w:tc>
          <w:tcPr>
            <w:tcW w:type="dxa" w:w="1020"/>
            <w:vAlign w:val="center"/>
          </w:tcPr>
          <w:p>
            <w:pPr>
              <w:pStyle w:val="TableText"/>
              <w:keepNext/>
              <w:jc w:val="center"/>
            </w:pPr>
            <w:r>
              <w:rPr>
                <w:sz w:val="22"/>
              </w:rPr>
              <w:t>1–3</w:t>
            </w:r>
          </w:p>
        </w:tc>
        <w:tc>
          <w:tcPr>
            <w:tcW w:type="dxa" w:w="1417"/>
            <w:vAlign w:val="center"/>
          </w:tcPr>
          <w:p>
            <w:pPr>
              <w:pStyle w:val="TableText"/>
              <w:keepNext/>
              <w:jc w:val="center"/>
            </w:pPr>
            <w:r>
              <w:rPr>
                <w:sz w:val="22"/>
              </w:rPr>
              <w:t>−68…−69</w:t>
            </w:r>
          </w:p>
        </w:tc>
        <w:tc>
          <w:tcPr>
            <w:tcW w:type="dxa" w:w="1701"/>
            <w:vAlign w:val="center"/>
          </w:tcPr>
          <w:p>
            <w:pPr>
              <w:pStyle w:val="TableText"/>
              <w:keepNext/>
              <w:jc w:val="center"/>
            </w:pPr>
            <w:r>
              <w:rPr>
                <w:sz w:val="22"/>
              </w:rPr>
              <w:t>−67,0</w:t>
            </w:r>
          </w:p>
        </w:tc>
        <w:tc>
          <w:tcPr>
            <w:tcW w:type="dxa" w:w="1701"/>
            <w:vAlign w:val="center"/>
          </w:tcPr>
          <w:p>
            <w:pPr>
              <w:pStyle w:val="TableText"/>
              <w:keepNext/>
              <w:jc w:val="center"/>
            </w:pPr>
            <w:r>
              <w:rPr>
                <w:sz w:val="22"/>
              </w:rPr>
              <w:t>≈ 5,0–5,2</w:t>
            </w:r>
          </w:p>
        </w:tc>
      </w:tr>
      <w:tr>
        <w:trPr>
          <w:cantSplit/>
        </w:trPr>
        <w:tc>
          <w:tcPr>
            <w:tcW w:type="dxa" w:w="1247"/>
            <w:vAlign w:val="center"/>
          </w:tcPr>
          <w:p>
            <w:pPr>
              <w:pStyle w:val="TableText"/>
              <w:jc w:val="center"/>
            </w:pPr>
            <w:r>
              <w:rPr>
                <w:sz w:val="22"/>
              </w:rPr>
              <w:t>1200</w:t>
            </w:r>
          </w:p>
        </w:tc>
        <w:tc>
          <w:tcPr>
            <w:tcW w:type="dxa" w:w="2268"/>
            <w:vAlign w:val="center"/>
          </w:tcPr>
          <w:p>
            <w:pPr>
              <w:pStyle w:val="TableText"/>
              <w:jc w:val="left"/>
            </w:pPr>
            <w:r>
              <w:rPr>
                <w:sz w:val="22"/>
              </w:rPr>
              <w:t>над водой</w:t>
            </w:r>
          </w:p>
        </w:tc>
        <w:tc>
          <w:tcPr>
            <w:tcW w:type="dxa" w:w="1020"/>
            <w:vAlign w:val="center"/>
          </w:tcPr>
          <w:p>
            <w:pPr>
              <w:pStyle w:val="TableText"/>
              <w:jc w:val="center"/>
            </w:pPr>
            <w:r>
              <w:rPr>
                <w:sz w:val="22"/>
              </w:rPr>
              <w:t>0–4</w:t>
            </w:r>
          </w:p>
        </w:tc>
        <w:tc>
          <w:tcPr>
            <w:tcW w:type="dxa" w:w="1417"/>
            <w:vAlign w:val="center"/>
          </w:tcPr>
          <w:p>
            <w:pPr>
              <w:pStyle w:val="TableText"/>
              <w:jc w:val="center"/>
            </w:pPr>
            <w:r>
              <w:rPr>
                <w:sz w:val="22"/>
              </w:rPr>
              <w:t>−65…−67</w:t>
            </w:r>
          </w:p>
        </w:tc>
        <w:tc>
          <w:tcPr>
            <w:tcW w:type="dxa" w:w="1701"/>
            <w:vAlign w:val="center"/>
          </w:tcPr>
          <w:p>
            <w:pPr>
              <w:pStyle w:val="TableText"/>
              <w:jc w:val="center"/>
            </w:pPr>
            <w:r>
              <w:rPr>
                <w:sz w:val="22"/>
              </w:rPr>
              <w:t>−73,0</w:t>
            </w:r>
          </w:p>
        </w:tc>
        <w:tc>
          <w:tcPr>
            <w:tcW w:type="dxa" w:w="1701"/>
            <w:vAlign w:val="center"/>
          </w:tcPr>
          <w:p>
            <w:pPr>
              <w:pStyle w:val="TableText"/>
              <w:jc w:val="center"/>
            </w:pPr>
            <w:r>
              <w:rPr>
                <w:sz w:val="22"/>
              </w:rPr>
              <w:t>4,0–6,6</w:t>
            </w:r>
          </w:p>
        </w:tc>
      </w:tr>
    </w:tbl>
    <w:p>
      <w:pPr>
        <w:spacing w:line="240" w:lineRule="auto"/>
      </w:pPr>
    </w:p>
    <w:p>
      <w:r>
        <w:t>На 300 и 600 м измеренный уровень сигнала при принятом допущении об антеннах совпадает с расчётом для свободного пространства в пределах 2 дБ, то есть на этих трассах прямой видимости показатель затухания близок к 2. На 1200 м над водой уровень на 6–8 дБ выше расчёта, а скорость зависела от высоты антенны принимающего узла: 4,0–4,1 Мбит/с, когда антенна была опущена к воде, и 6,5–6,6 Мбит/с, когда поднята (высоты в руководстве не указаны), — прямое подтверждение вывода о высоте антенн. Эти скорости выше полученных на стенде, потому что производитель мерил при +20 дБм и, по всей видимости, в канале 8 МГц. Пересчёт на нормы Российской Федерации: снижение мощности с 20 до 14 дБм (на 6 дБ) вдвое сокращает дальность в свободном пространстве, то есть 1200 м паспорта соответствуют около 600 м при той же скорости. Там же производитель приводит данные для цепочки с промежуточным узлом-ретранслятором, которым можно продлить связь с БПЛА: ретранслятор вдвое снижает поток и вдвое увеличивает задержку [28]. Собственная точка стенда — трасса 5 м через стену, вне прямой видимости: уровень сигнала −53 дБм при отношении сигнал/шум 36 дБ.</w:t>
      </w:r>
    </w:p>
    <w:p>
      <w:r>
        <w:rPr>
          <w:b/>
        </w:rPr>
        <w:t xml:space="preserve">Измерение границы связи. </w:t>
      </w:r>
      <w:r>
        <w:t>Граница связи итоговой версии стенда измерена на трассе прямой видимости по методике раздела 2.4 (таблица 3.10). Для сравнения на идентичной платформе в таблицу включён Wi-Fi 2,4 ГГц той же пары плат при 20 дБм (раздел 3.7).</w:t>
      </w:r>
    </w:p>
    <w:p>
      <w:pPr>
        <w:pStyle w:val="TableCaption"/>
        <w:ind w:firstLine="0"/>
      </w:pPr>
      <w:r>
        <w:t>Таблица 3.10 – Граница связи на одной паре плат T-HaLow на трассе прямой видимости</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3118"/>
        <w:gridCol w:w="1247"/>
        <w:gridCol w:w="1474"/>
        <w:gridCol w:w="1247"/>
        <w:gridCol w:w="1474"/>
      </w:tblGrid>
      <w:tr>
        <w:trPr>
          <w:cantSplit/>
          <w:tblHeader w:val="true"/>
        </w:trPr>
        <w:tc>
          <w:tcPr>
            <w:tcW w:type="dxa" w:w="3118"/>
            <w:vAlign w:val="center"/>
          </w:tcPr>
          <w:p>
            <w:pPr>
              <w:pStyle w:val="TableText"/>
              <w:keepNext/>
              <w:jc w:val="center"/>
            </w:pPr>
            <w:r>
              <w:rPr>
                <w:b/>
                <w:sz w:val="20"/>
              </w:rPr>
              <w:t>Состояние связи</w:t>
            </w:r>
          </w:p>
        </w:tc>
        <w:tc>
          <w:tcPr>
            <w:tcW w:type="dxa" w:w="1247"/>
            <w:vAlign w:val="center"/>
          </w:tcPr>
          <w:p>
            <w:pPr>
              <w:pStyle w:val="TableText"/>
              <w:keepNext/>
              <w:jc w:val="center"/>
            </w:pPr>
            <w:r>
              <w:rPr>
                <w:b/>
                <w:sz w:val="20"/>
              </w:rPr>
              <w:t>Wi-Fi HaLow, 14 дБм: L, дБ</w:t>
            </w:r>
          </w:p>
        </w:tc>
        <w:tc>
          <w:tcPr>
            <w:tcW w:type="dxa" w:w="1474"/>
            <w:vAlign w:val="center"/>
          </w:tcPr>
          <w:p>
            <w:pPr>
              <w:pStyle w:val="TableText"/>
              <w:keepNext/>
              <w:jc w:val="center"/>
            </w:pPr>
            <w:r>
              <w:rPr>
                <w:b/>
                <w:sz w:val="20"/>
              </w:rPr>
              <w:t>Трасса прямой видимости, км</w:t>
            </w:r>
          </w:p>
        </w:tc>
        <w:tc>
          <w:tcPr>
            <w:tcW w:type="dxa" w:w="1247"/>
            <w:vAlign w:val="center"/>
          </w:tcPr>
          <w:p>
            <w:pPr>
              <w:pStyle w:val="TableText"/>
              <w:keepNext/>
              <w:jc w:val="center"/>
            </w:pPr>
            <w:r>
              <w:rPr>
                <w:b/>
                <w:sz w:val="20"/>
              </w:rPr>
              <w:t>Wi-Fi 2,4 ГГц, 20 дБм: L, дБ</w:t>
            </w:r>
          </w:p>
        </w:tc>
        <w:tc>
          <w:tcPr>
            <w:tcW w:type="dxa" w:w="1474"/>
            <w:vAlign w:val="center"/>
          </w:tcPr>
          <w:p>
            <w:pPr>
              <w:pStyle w:val="TableText"/>
              <w:keepNext/>
              <w:jc w:val="center"/>
            </w:pPr>
            <w:r>
              <w:rPr>
                <w:b/>
                <w:sz w:val="20"/>
              </w:rPr>
              <w:t>Трасса прямой видимости, км</w:t>
            </w:r>
          </w:p>
        </w:tc>
      </w:tr>
      <w:tr>
        <w:trPr>
          <w:cantSplit/>
        </w:trPr>
        <w:tc>
          <w:tcPr>
            <w:tcW w:type="dxa" w:w="3118"/>
            <w:vAlign w:val="center"/>
          </w:tcPr>
          <w:p>
            <w:pPr>
              <w:pStyle w:val="TableText"/>
              <w:keepNext/>
              <w:jc w:val="left"/>
            </w:pPr>
            <w:r>
              <w:rPr>
                <w:sz w:val="20"/>
              </w:rPr>
              <w:t>видео передаётся, потери видеокадров 2–3 %</w:t>
            </w:r>
          </w:p>
        </w:tc>
        <w:tc>
          <w:tcPr>
            <w:tcW w:type="dxa" w:w="1247"/>
            <w:vAlign w:val="center"/>
          </w:tcPr>
          <w:p>
            <w:pPr>
              <w:pStyle w:val="TableText"/>
              <w:keepNext/>
              <w:jc w:val="center"/>
            </w:pPr>
            <w:r>
              <w:rPr>
                <w:sz w:val="20"/>
              </w:rPr>
              <w:t>66</w:t>
            </w:r>
          </w:p>
        </w:tc>
        <w:tc>
          <w:tcPr>
            <w:tcW w:type="dxa" w:w="1474"/>
            <w:vAlign w:val="center"/>
          </w:tcPr>
          <w:p>
            <w:pPr>
              <w:pStyle w:val="TableText"/>
              <w:keepNext/>
              <w:jc w:val="center"/>
            </w:pPr>
            <w:r>
              <w:rPr>
                <w:sz w:val="20"/>
              </w:rPr>
              <w:t>0,055</w:t>
            </w:r>
          </w:p>
        </w:tc>
        <w:tc>
          <w:tcPr>
            <w:tcW w:type="dxa" w:w="1247"/>
            <w:vAlign w:val="center"/>
          </w:tcPr>
          <w:p>
            <w:pPr>
              <w:pStyle w:val="TableText"/>
              <w:keepNext/>
              <w:jc w:val="center"/>
            </w:pPr>
            <w:r>
              <w:rPr>
                <w:sz w:val="20"/>
              </w:rPr>
              <w:t>75</w:t>
            </w:r>
          </w:p>
        </w:tc>
        <w:tc>
          <w:tcPr>
            <w:tcW w:type="dxa" w:w="1474"/>
            <w:vAlign w:val="center"/>
          </w:tcPr>
          <w:p>
            <w:pPr>
              <w:pStyle w:val="TableText"/>
              <w:keepNext/>
              <w:jc w:val="center"/>
            </w:pPr>
            <w:r>
              <w:rPr>
                <w:sz w:val="20"/>
              </w:rPr>
              <w:t>0,055</w:t>
            </w:r>
          </w:p>
        </w:tc>
      </w:tr>
      <w:tr>
        <w:trPr>
          <w:cantSplit/>
        </w:trPr>
        <w:tc>
          <w:tcPr>
            <w:tcW w:type="dxa" w:w="3118"/>
            <w:vAlign w:val="center"/>
          </w:tcPr>
          <w:p>
            <w:pPr>
              <w:pStyle w:val="TableText"/>
              <w:keepNext/>
              <w:jc w:val="left"/>
            </w:pPr>
            <w:r>
              <w:rPr>
                <w:sz w:val="20"/>
              </w:rPr>
              <w:t>видео идёт с полной скоростью (наибольшие потери)</w:t>
            </w:r>
          </w:p>
        </w:tc>
        <w:tc>
          <w:tcPr>
            <w:tcW w:type="dxa" w:w="1247"/>
            <w:vAlign w:val="center"/>
          </w:tcPr>
          <w:p>
            <w:pPr>
              <w:pStyle w:val="TableText"/>
              <w:keepNext/>
              <w:jc w:val="center"/>
            </w:pPr>
            <w:r>
              <w:rPr>
                <w:sz w:val="20"/>
              </w:rPr>
              <w:t>68</w:t>
            </w:r>
          </w:p>
        </w:tc>
        <w:tc>
          <w:tcPr>
            <w:tcW w:type="dxa" w:w="1474"/>
            <w:vAlign w:val="center"/>
          </w:tcPr>
          <w:p>
            <w:pPr>
              <w:pStyle w:val="TableText"/>
              <w:keepNext/>
              <w:jc w:val="center"/>
            </w:pPr>
            <w:r>
              <w:rPr>
                <w:sz w:val="20"/>
              </w:rPr>
              <w:t>0,069</w:t>
            </w:r>
          </w:p>
        </w:tc>
        <w:tc>
          <w:tcPr>
            <w:tcW w:type="dxa" w:w="1247"/>
            <w:vAlign w:val="center"/>
          </w:tcPr>
          <w:p>
            <w:pPr>
              <w:pStyle w:val="TableText"/>
              <w:keepNext/>
              <w:jc w:val="center"/>
            </w:pPr>
            <w:r>
              <w:rPr>
                <w:sz w:val="20"/>
              </w:rPr>
              <w:t>83</w:t>
            </w:r>
          </w:p>
        </w:tc>
        <w:tc>
          <w:tcPr>
            <w:tcW w:type="dxa" w:w="1474"/>
            <w:vAlign w:val="center"/>
          </w:tcPr>
          <w:p>
            <w:pPr>
              <w:pStyle w:val="TableText"/>
              <w:keepNext/>
              <w:jc w:val="center"/>
            </w:pPr>
            <w:r>
              <w:rPr>
                <w:sz w:val="20"/>
              </w:rPr>
              <w:t>0,14</w:t>
            </w:r>
          </w:p>
        </w:tc>
      </w:tr>
      <w:tr>
        <w:trPr>
          <w:cantSplit/>
        </w:trPr>
        <w:tc>
          <w:tcPr>
            <w:tcW w:type="dxa" w:w="3118"/>
            <w:vAlign w:val="center"/>
          </w:tcPr>
          <w:p>
            <w:pPr>
              <w:pStyle w:val="TableText"/>
              <w:keepNext/>
              <w:jc w:val="left"/>
            </w:pPr>
            <w:r>
              <w:rPr>
                <w:sz w:val="20"/>
              </w:rPr>
              <w:t>видео передаётся, потери видеокадров 9 %</w:t>
            </w:r>
          </w:p>
        </w:tc>
        <w:tc>
          <w:tcPr>
            <w:tcW w:type="dxa" w:w="1247"/>
            <w:vAlign w:val="center"/>
          </w:tcPr>
          <w:p>
            <w:pPr>
              <w:pStyle w:val="TableText"/>
              <w:keepNext/>
              <w:jc w:val="center"/>
            </w:pPr>
            <w:r>
              <w:rPr>
                <w:sz w:val="20"/>
              </w:rPr>
              <w:t>81</w:t>
            </w:r>
          </w:p>
        </w:tc>
        <w:tc>
          <w:tcPr>
            <w:tcW w:type="dxa" w:w="1474"/>
            <w:vAlign w:val="center"/>
          </w:tcPr>
          <w:p>
            <w:pPr>
              <w:pStyle w:val="TableText"/>
              <w:keepNext/>
              <w:jc w:val="center"/>
            </w:pPr>
            <w:r>
              <w:rPr>
                <w:sz w:val="20"/>
              </w:rPr>
              <w:t>0,31</w:t>
            </w:r>
          </w:p>
        </w:tc>
        <w:tc>
          <w:tcPr>
            <w:tcW w:type="dxa" w:w="1247"/>
            <w:vAlign w:val="center"/>
          </w:tcPr>
          <w:p>
            <w:pPr>
              <w:pStyle w:val="TableText"/>
              <w:keepNext/>
              <w:jc w:val="center"/>
            </w:pPr>
            <w:r>
              <w:rPr>
                <w:sz w:val="20"/>
              </w:rPr>
              <w:t>—</w:t>
            </w:r>
          </w:p>
        </w:tc>
        <w:tc>
          <w:tcPr>
            <w:tcW w:type="dxa" w:w="1474"/>
            <w:vAlign w:val="center"/>
          </w:tcPr>
          <w:p>
            <w:pPr>
              <w:pStyle w:val="TableText"/>
              <w:keepNext/>
              <w:jc w:val="center"/>
            </w:pPr>
            <w:r>
              <w:rPr>
                <w:sz w:val="20"/>
              </w:rPr>
              <w:t>—</w:t>
            </w:r>
          </w:p>
        </w:tc>
      </w:tr>
      <w:tr>
        <w:trPr>
          <w:cantSplit/>
        </w:trPr>
        <w:tc>
          <w:tcPr>
            <w:tcW w:type="dxa" w:w="3118"/>
            <w:vAlign w:val="center"/>
          </w:tcPr>
          <w:p>
            <w:pPr>
              <w:pStyle w:val="TableText"/>
              <w:keepNext/>
              <w:jc w:val="left"/>
            </w:pPr>
            <w:r>
              <w:rPr>
                <w:sz w:val="20"/>
              </w:rPr>
              <w:t>видео прекращено, связь сохраняется</w:t>
            </w:r>
          </w:p>
        </w:tc>
        <w:tc>
          <w:tcPr>
            <w:tcW w:type="dxa" w:w="1247"/>
            <w:vAlign w:val="center"/>
          </w:tcPr>
          <w:p>
            <w:pPr>
              <w:pStyle w:val="TableText"/>
              <w:keepNext/>
              <w:jc w:val="center"/>
            </w:pPr>
            <w:r>
              <w:rPr>
                <w:sz w:val="20"/>
              </w:rPr>
              <w:t>92</w:t>
            </w:r>
          </w:p>
        </w:tc>
        <w:tc>
          <w:tcPr>
            <w:tcW w:type="dxa" w:w="1474"/>
            <w:vAlign w:val="center"/>
          </w:tcPr>
          <w:p>
            <w:pPr>
              <w:pStyle w:val="TableText"/>
              <w:keepNext/>
              <w:jc w:val="center"/>
            </w:pPr>
            <w:r>
              <w:rPr>
                <w:sz w:val="20"/>
              </w:rPr>
              <w:t>1,10</w:t>
            </w:r>
          </w:p>
        </w:tc>
        <w:tc>
          <w:tcPr>
            <w:tcW w:type="dxa" w:w="1247"/>
            <w:vAlign w:val="center"/>
          </w:tcPr>
          <w:p>
            <w:pPr>
              <w:pStyle w:val="TableText"/>
              <w:keepNext/>
              <w:jc w:val="center"/>
            </w:pPr>
            <w:r>
              <w:rPr>
                <w:sz w:val="20"/>
              </w:rPr>
              <w:t>96</w:t>
            </w:r>
          </w:p>
        </w:tc>
        <w:tc>
          <w:tcPr>
            <w:tcW w:type="dxa" w:w="1474"/>
            <w:vAlign w:val="center"/>
          </w:tcPr>
          <w:p>
            <w:pPr>
              <w:pStyle w:val="TableText"/>
              <w:keepNext/>
              <w:jc w:val="center"/>
            </w:pPr>
            <w:r>
              <w:rPr>
                <w:sz w:val="20"/>
              </w:rPr>
              <w:t>0,62</w:t>
            </w:r>
          </w:p>
        </w:tc>
      </w:tr>
      <w:tr>
        <w:trPr>
          <w:cantSplit/>
        </w:trPr>
        <w:tc>
          <w:tcPr>
            <w:tcW w:type="dxa" w:w="3118"/>
            <w:vAlign w:val="center"/>
          </w:tcPr>
          <w:p>
            <w:pPr>
              <w:pStyle w:val="TableText"/>
              <w:jc w:val="left"/>
            </w:pPr>
            <w:r>
              <w:rPr>
                <w:sz w:val="20"/>
              </w:rPr>
              <w:t>наибольшие потери при сохранении связи (далее — обрыв)</w:t>
            </w:r>
          </w:p>
        </w:tc>
        <w:tc>
          <w:tcPr>
            <w:tcW w:type="dxa" w:w="1247"/>
            <w:vAlign w:val="center"/>
          </w:tcPr>
          <w:p>
            <w:pPr>
              <w:pStyle w:val="TableText"/>
              <w:jc w:val="center"/>
            </w:pPr>
            <w:r>
              <w:rPr>
                <w:sz w:val="20"/>
              </w:rPr>
              <w:t>95</w:t>
            </w:r>
          </w:p>
        </w:tc>
        <w:tc>
          <w:tcPr>
            <w:tcW w:type="dxa" w:w="1474"/>
            <w:vAlign w:val="center"/>
          </w:tcPr>
          <w:p>
            <w:pPr>
              <w:pStyle w:val="TableText"/>
              <w:jc w:val="center"/>
            </w:pPr>
            <w:r>
              <w:rPr>
                <w:sz w:val="20"/>
              </w:rPr>
              <w:t>1,55</w:t>
            </w:r>
          </w:p>
        </w:tc>
        <w:tc>
          <w:tcPr>
            <w:tcW w:type="dxa" w:w="1247"/>
            <w:vAlign w:val="center"/>
          </w:tcPr>
          <w:p>
            <w:pPr>
              <w:pStyle w:val="TableText"/>
              <w:jc w:val="center"/>
            </w:pPr>
            <w:r>
              <w:rPr>
                <w:sz w:val="20"/>
              </w:rPr>
              <w:t>99</w:t>
            </w:r>
          </w:p>
        </w:tc>
        <w:tc>
          <w:tcPr>
            <w:tcW w:type="dxa" w:w="1474"/>
            <w:vAlign w:val="center"/>
          </w:tcPr>
          <w:p>
            <w:pPr>
              <w:pStyle w:val="TableText"/>
              <w:jc w:val="center"/>
            </w:pPr>
            <w:r>
              <w:rPr>
                <w:sz w:val="20"/>
              </w:rPr>
              <w:t>0,87</w:t>
            </w:r>
          </w:p>
        </w:tc>
      </w:tr>
    </w:tbl>
    <w:p>
      <w:pPr>
        <w:spacing w:line="240" w:lineRule="auto"/>
      </w:pPr>
    </w:p>
    <w:p>
      <w:r>
        <w:t>Видео Wi-Fi HaLow с потерями видеокадров не более 9 % передаётся до потерь на трассе 81 дБ (≈ 310 м), но полезная скорость там падает до около 0,09 Мбит/с против 0,94 Мбит/с на 55 м (рисунок 3.1); дальше видео идёт с растущими потерями и при 92 дБ (≈ 1,10 км) прекращается. Связь при этом сохраняется вплоть до 95 дБ (≈ 1,55 км): узлы остаются связанными и обмениваются служебными кадрами, но видео уже не передаётся. Измеренная граница связи лежит в пределах расчётного диапазона таблицы 3.8 и согласуется с паспортом радиомодуля — 1200 м при +20 дБм [17], — хотя получена при мощности на 6 дБ ниже, в пределах нормы ГКРЧ. Уровень сигнала на границе связи составил −81 дБм, что на 20 дБ выше оценки чувствительности для канала 2 МГц (−101 дБм на MCS 0, раздел 1.3); это согласуется с повышенным фоном платы с камерой (раздел 2.2). Граница связи 1,55 км больше паспортных 1200 м, хотя мощность на 6 дБ ниже, потому что это разные точки: паспорт указывает дальность, на которой сохраняется скорость TCP более 2 Мбит/с, а 1,55 км — граница связи на самой медленной модуляции, где видео уже не передаётся.</w:t>
      </w:r>
    </w:p>
    <w:p>
      <w:r>
        <w:t>Привычная оценка дальности Wi-Fi 2,4 ГГц в сотни метров относится к полной скорости. На этой паре плат Wi-Fi держал полную скорость видео до потерь 83 дБ (≈ 140 м), видео прекратилось при 96 дБ, а 0,87 км — граница связи на самой медленной скорости 802.11b 1 Мбит/с, где передаются только служебные кадры. Wi-Fi HaLow полную скорость видео держит до 68 дБ (≈ 70 м): видеопоток около 1 Мбит/с близок к пределу его пропускной способности, и запас по скорости исчерпывается раньше; зато видео на пониженной скорости и сама связь сохраняются намного дальше, чем у Wi-Fi.</w:t>
      </w:r>
    </w:p>
    <w:p>
      <w:r>
        <w:t xml:space="preserve">Расчёт и измерение границы связи сопоставлены в таблице </w:t>
      </w:r>
      <w:r>
        <w:t>3.11</w:t>
      </w:r>
      <w:r>
        <w:t>. Для сравнения расчётная дальность взята без запаса на замирания, так как измерение — однократное определение границы, а не гарантированная дальность.</w:t>
      </w:r>
    </w:p>
    <w:p>
      <w:pPr>
        <w:pStyle w:val="TableCaption"/>
        <w:ind w:firstLine="0"/>
      </w:pPr>
      <w:r>
        <w:t>Таблица 3.11 – Расчётная и измеренная граница связи на одной паре плат</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3118"/>
        <w:gridCol w:w="1984"/>
        <w:gridCol w:w="1984"/>
        <w:gridCol w:w="2267"/>
      </w:tblGrid>
      <w:tr>
        <w:trPr>
          <w:cantSplit/>
          <w:tblHeader w:val="true"/>
        </w:trPr>
        <w:tc>
          <w:tcPr>
            <w:tcW w:type="dxa" w:w="3118"/>
            <w:vAlign w:val="center"/>
          </w:tcPr>
          <w:p>
            <w:pPr>
              <w:pStyle w:val="TableText"/>
              <w:keepNext/>
              <w:jc w:val="center"/>
            </w:pPr>
            <w:r>
              <w:rPr>
                <w:b/>
                <w:sz w:val="22"/>
              </w:rPr>
              <w:t>Технология, мощность</w:t>
            </w:r>
          </w:p>
        </w:tc>
        <w:tc>
          <w:tcPr>
            <w:tcW w:type="dxa" w:w="1984"/>
            <w:vAlign w:val="center"/>
          </w:tcPr>
          <w:p>
            <w:pPr>
              <w:pStyle w:val="TableText"/>
              <w:keepNext/>
              <w:jc w:val="center"/>
            </w:pPr>
            <w:r>
              <w:rPr>
                <w:b/>
                <w:sz w:val="22"/>
              </w:rPr>
              <w:t>Расчёт без запаса, км</w:t>
            </w:r>
          </w:p>
        </w:tc>
        <w:tc>
          <w:tcPr>
            <w:tcW w:type="dxa" w:w="1984"/>
            <w:vAlign w:val="center"/>
          </w:tcPr>
          <w:p>
            <w:pPr>
              <w:pStyle w:val="TableText"/>
              <w:keepNext/>
              <w:jc w:val="center"/>
            </w:pPr>
            <w:r>
              <w:rPr>
                <w:b/>
                <w:sz w:val="22"/>
              </w:rPr>
              <w:t>Измерение, км</w:t>
            </w:r>
          </w:p>
        </w:tc>
        <w:tc>
          <w:tcPr>
            <w:tcW w:type="dxa" w:w="2268"/>
            <w:vAlign w:val="center"/>
          </w:tcPr>
          <w:p>
            <w:pPr>
              <w:pStyle w:val="TableText"/>
              <w:keepNext/>
              <w:jc w:val="center"/>
            </w:pPr>
            <w:r>
              <w:rPr>
                <w:b/>
                <w:sz w:val="22"/>
              </w:rPr>
              <w:t>Измерение / расчёт</w:t>
            </w:r>
          </w:p>
        </w:tc>
      </w:tr>
      <w:tr>
        <w:trPr>
          <w:cantSplit/>
        </w:trPr>
        <w:tc>
          <w:tcPr>
            <w:tcW w:type="dxa" w:w="3118"/>
            <w:vAlign w:val="center"/>
          </w:tcPr>
          <w:p>
            <w:pPr>
              <w:pStyle w:val="TableText"/>
              <w:keepNext/>
              <w:jc w:val="left"/>
            </w:pPr>
            <w:r>
              <w:rPr>
                <w:sz w:val="22"/>
              </w:rPr>
              <w:t>Wi-Fi HaLow, 14 дБм, MCS 0</w:t>
            </w:r>
          </w:p>
        </w:tc>
        <w:tc>
          <w:tcPr>
            <w:tcW w:type="dxa" w:w="1984"/>
            <w:vAlign w:val="center"/>
          </w:tcPr>
          <w:p>
            <w:pPr>
              <w:pStyle w:val="TableText"/>
              <w:keepNext/>
              <w:jc w:val="center"/>
            </w:pPr>
            <w:r>
              <w:rPr>
                <w:sz w:val="22"/>
              </w:rPr>
              <w:t>15,49</w:t>
            </w:r>
          </w:p>
        </w:tc>
        <w:tc>
          <w:tcPr>
            <w:tcW w:type="dxa" w:w="1984"/>
            <w:vAlign w:val="center"/>
          </w:tcPr>
          <w:p>
            <w:pPr>
              <w:pStyle w:val="TableText"/>
              <w:keepNext/>
              <w:jc w:val="center"/>
            </w:pPr>
            <w:r>
              <w:rPr>
                <w:sz w:val="22"/>
              </w:rPr>
              <w:t>1,55</w:t>
            </w:r>
          </w:p>
        </w:tc>
        <w:tc>
          <w:tcPr>
            <w:tcW w:type="dxa" w:w="2268"/>
            <w:vAlign w:val="center"/>
          </w:tcPr>
          <w:p>
            <w:pPr>
              <w:pStyle w:val="TableText"/>
              <w:keepNext/>
              <w:jc w:val="center"/>
            </w:pPr>
            <w:r>
              <w:rPr>
                <w:sz w:val="22"/>
              </w:rPr>
              <w:t>в 10 раз меньше (20 дБ)</w:t>
            </w:r>
          </w:p>
        </w:tc>
      </w:tr>
      <w:tr>
        <w:trPr>
          <w:cantSplit/>
        </w:trPr>
        <w:tc>
          <w:tcPr>
            <w:tcW w:type="dxa" w:w="3118"/>
            <w:vAlign w:val="center"/>
          </w:tcPr>
          <w:p>
            <w:pPr>
              <w:pStyle w:val="TableText"/>
              <w:jc w:val="left"/>
            </w:pPr>
            <w:r>
              <w:rPr>
                <w:sz w:val="22"/>
              </w:rPr>
              <w:t>Wi-Fi 2,4 ГГц, 20 дБм, 802.11b 1 Мбит/с</w:t>
            </w:r>
          </w:p>
        </w:tc>
        <w:tc>
          <w:tcPr>
            <w:tcW w:type="dxa" w:w="1984"/>
            <w:vAlign w:val="center"/>
          </w:tcPr>
          <w:p>
            <w:pPr>
              <w:pStyle w:val="TableText"/>
              <w:jc w:val="center"/>
            </w:pPr>
            <w:r>
              <w:rPr>
                <w:sz w:val="22"/>
              </w:rPr>
              <w:t>8,15</w:t>
            </w:r>
          </w:p>
        </w:tc>
        <w:tc>
          <w:tcPr>
            <w:tcW w:type="dxa" w:w="1984"/>
            <w:vAlign w:val="center"/>
          </w:tcPr>
          <w:p>
            <w:pPr>
              <w:pStyle w:val="TableText"/>
              <w:jc w:val="center"/>
            </w:pPr>
            <w:r>
              <w:rPr>
                <w:sz w:val="22"/>
              </w:rPr>
              <w:t>0,87</w:t>
            </w:r>
          </w:p>
        </w:tc>
        <w:tc>
          <w:tcPr>
            <w:tcW w:type="dxa" w:w="2268"/>
            <w:vAlign w:val="center"/>
          </w:tcPr>
          <w:p>
            <w:pPr>
              <w:pStyle w:val="TableText"/>
              <w:jc w:val="center"/>
            </w:pPr>
            <w:r>
              <w:rPr>
                <w:sz w:val="22"/>
              </w:rPr>
              <w:t>в 9 раз меньше (19,4 дБ)</w:t>
            </w:r>
          </w:p>
        </w:tc>
      </w:tr>
    </w:tbl>
    <w:p>
      <w:pPr>
        <w:spacing w:line="240" w:lineRule="auto"/>
      </w:pPr>
    </w:p>
    <w:p>
      <w:r>
        <w:t>У обеих технологий измеренная граница на 19–20 дБ ближе расчётной: в реальном канале приёму мешает не только тепловой шум, но и фон платы и помехи в эфире. Важно, что расхождение у обеих технологий почти одинаково, поэтому их соотношение — Wi-Fi HaLow примерно вдвое дальше — расчёт и измерение дают согласованно.</w:t>
      </w:r>
    </w:p>
    <w:p>
      <w:pPr>
        <w:pStyle w:val="Heading2"/>
      </w:pPr>
      <w:r>
        <w:t>3.7 Сравнение с IEEE 802.11 (Wi-Fi 2,4 и 5 ГГц) и LoRa</w:t>
      </w:r>
    </w:p>
    <w:p>
      <w:r>
        <w:t xml:space="preserve">Сравнение по критериям задания — дальности, уровню сигнала, задержке и потерям пакетов, — а также по пропускной способности, энергопотреблению и проникающей способности выполнено по результатам стенда для Wi-Fi HaLow и Wi-Fi 2,4 ГГц, расчёту на одной плате (таблица </w:t>
      </w:r>
      <w:r>
        <w:t>3.8</w:t>
      </w:r>
      <w:r>
        <w:t>) и опубликованным данным для LoRa и Wi-Fi 5 ГГц. Опубликованных измерений задержки и потерь для Wi-Fi HaLow и для Wi-Fi на ESP32 в доступных источниках нет, поэтому для обоих протоколов приведены собственные измерения на одной паре плат. Wi-Fi 5 ГГц на этой платформе не измерить: ESP32-S3 этот диапазон не поддерживает.</w:t>
      </w:r>
    </w:p>
    <w:p>
      <w:r>
        <w:rPr>
          <w:b/>
        </w:rPr>
        <w:t xml:space="preserve">Измерение на идентичной платформе. </w:t>
      </w:r>
      <w:r>
        <w:t>Тот же видеопоток (480 × 320, JPEG, до 5 видеокадров в секунду, фрагменты по 1400 Б) передан встроенным Wi-Fi 2,4 ГГц процессора ESP32-S3 тех же плат (802.11n, канал 20 МГц, точка доступа — плата с камерой) на той же трассе 5 м через стену, вне прямой видимости, при мощности 14 дБм (как у Wi-Fi HaLow) и 20 дБм (норма для 2,4 ГГц). Ёмкость канала измерена синтетическим потоком: плата с камерой без пауз передаёт пакеты по 1400 Б, приёмник считает доставленные байты и пропуски по номерам. Результаты — в таблице 3.12; данные Wi-Fi HaLow — итоговая версия стенда на той же трассе.</w:t>
      </w:r>
    </w:p>
    <w:p>
      <w:pPr>
        <w:pStyle w:val="TableCaption"/>
        <w:ind w:firstLine="0"/>
      </w:pPr>
      <w:r>
        <w:t>Таблица 3.12 – Wi-Fi HaLow и Wi-Fi 2,4 ГГц на одной паре плат, трасса 5 м через стену</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2948"/>
        <w:gridCol w:w="2154"/>
        <w:gridCol w:w="2154"/>
        <w:gridCol w:w="2097"/>
      </w:tblGrid>
      <w:tr>
        <w:trPr>
          <w:cantSplit/>
          <w:tblHeader w:val="true"/>
        </w:trPr>
        <w:tc>
          <w:tcPr>
            <w:tcW w:type="dxa" w:w="2948"/>
            <w:vAlign w:val="center"/>
          </w:tcPr>
          <w:p>
            <w:pPr>
              <w:pStyle w:val="TableText"/>
              <w:keepNext/>
              <w:jc w:val="center"/>
            </w:pPr>
            <w:r>
              <w:rPr>
                <w:b/>
                <w:sz w:val="20"/>
              </w:rPr>
              <w:t>Показатель</w:t>
            </w:r>
          </w:p>
        </w:tc>
        <w:tc>
          <w:tcPr>
            <w:tcW w:type="dxa" w:w="2154"/>
            <w:vAlign w:val="center"/>
          </w:tcPr>
          <w:p>
            <w:pPr>
              <w:pStyle w:val="TableText"/>
              <w:keepNext/>
              <w:jc w:val="center"/>
            </w:pPr>
            <w:r>
              <w:rPr>
                <w:b/>
                <w:sz w:val="20"/>
              </w:rPr>
              <w:t>Wi-Fi 2,4 ГГц, 20 дБм</w:t>
            </w:r>
          </w:p>
        </w:tc>
        <w:tc>
          <w:tcPr>
            <w:tcW w:type="dxa" w:w="2154"/>
            <w:vAlign w:val="center"/>
          </w:tcPr>
          <w:p>
            <w:pPr>
              <w:pStyle w:val="TableText"/>
              <w:keepNext/>
              <w:jc w:val="center"/>
            </w:pPr>
            <w:r>
              <w:rPr>
                <w:b/>
                <w:sz w:val="20"/>
              </w:rPr>
              <w:t>Wi-Fi 2,4 ГГц, 14 дБм</w:t>
            </w:r>
          </w:p>
        </w:tc>
        <w:tc>
          <w:tcPr>
            <w:tcW w:type="dxa" w:w="2098"/>
            <w:vAlign w:val="center"/>
          </w:tcPr>
          <w:p>
            <w:pPr>
              <w:pStyle w:val="TableText"/>
              <w:keepNext/>
              <w:jc w:val="center"/>
            </w:pPr>
            <w:r>
              <w:rPr>
                <w:b/>
                <w:sz w:val="20"/>
              </w:rPr>
              <w:t>Wi-Fi HaLow, 867 МГц, регулятор 1–14 дБм</w:t>
            </w:r>
          </w:p>
        </w:tc>
      </w:tr>
      <w:tr>
        <w:trPr>
          <w:cantSplit/>
        </w:trPr>
        <w:tc>
          <w:tcPr>
            <w:tcW w:type="dxa" w:w="2948"/>
            <w:vAlign w:val="center"/>
          </w:tcPr>
          <w:p>
            <w:pPr>
              <w:pStyle w:val="TableText"/>
              <w:keepNext/>
              <w:jc w:val="left"/>
            </w:pPr>
            <w:r>
              <w:rPr>
                <w:sz w:val="20"/>
              </w:rPr>
              <w:t>Ёмкость канала (медиана), Мбит/с</w:t>
            </w:r>
          </w:p>
        </w:tc>
        <w:tc>
          <w:tcPr>
            <w:tcW w:type="dxa" w:w="2154"/>
            <w:vAlign w:val="center"/>
          </w:tcPr>
          <w:p>
            <w:pPr>
              <w:pStyle w:val="TableText"/>
              <w:keepNext/>
              <w:jc w:val="center"/>
            </w:pPr>
            <w:r>
              <w:rPr>
                <w:sz w:val="20"/>
              </w:rPr>
              <w:t>19,2 (12,9–24,1)</w:t>
            </w:r>
          </w:p>
        </w:tc>
        <w:tc>
          <w:tcPr>
            <w:tcW w:type="dxa" w:w="2154"/>
            <w:vAlign w:val="center"/>
          </w:tcPr>
          <w:p>
            <w:pPr>
              <w:pStyle w:val="TableText"/>
              <w:keepNext/>
              <w:jc w:val="center"/>
            </w:pPr>
            <w:r>
              <w:rPr>
                <w:sz w:val="20"/>
              </w:rPr>
              <w:t>15,7 (6,2–22,2)</w:t>
            </w:r>
          </w:p>
        </w:tc>
        <w:tc>
          <w:tcPr>
            <w:tcW w:type="dxa" w:w="2098"/>
            <w:vAlign w:val="center"/>
          </w:tcPr>
          <w:p>
            <w:pPr>
              <w:pStyle w:val="TableText"/>
              <w:keepNext/>
              <w:jc w:val="center"/>
            </w:pPr>
            <w:r>
              <w:rPr>
                <w:sz w:val="20"/>
              </w:rPr>
              <w:t>≈ 1 (эфир занят на 99 %)</w:t>
            </w:r>
          </w:p>
        </w:tc>
      </w:tr>
      <w:tr>
        <w:trPr>
          <w:cantSplit/>
        </w:trPr>
        <w:tc>
          <w:tcPr>
            <w:tcW w:type="dxa" w:w="2948"/>
            <w:vAlign w:val="center"/>
          </w:tcPr>
          <w:p>
            <w:pPr>
              <w:pStyle w:val="TableText"/>
              <w:keepNext/>
              <w:jc w:val="left"/>
            </w:pPr>
            <w:r>
              <w:rPr>
                <w:sz w:val="20"/>
              </w:rPr>
              <w:t>Видео: видеокадров в секунду</w:t>
            </w:r>
          </w:p>
        </w:tc>
        <w:tc>
          <w:tcPr>
            <w:tcW w:type="dxa" w:w="2154"/>
            <w:vAlign w:val="center"/>
          </w:tcPr>
          <w:p>
            <w:pPr>
              <w:pStyle w:val="TableText"/>
              <w:keepNext/>
              <w:jc w:val="center"/>
            </w:pPr>
            <w:r>
              <w:rPr>
                <w:sz w:val="20"/>
              </w:rPr>
              <w:t>4,9</w:t>
            </w:r>
          </w:p>
        </w:tc>
        <w:tc>
          <w:tcPr>
            <w:tcW w:type="dxa" w:w="2154"/>
            <w:vAlign w:val="center"/>
          </w:tcPr>
          <w:p>
            <w:pPr>
              <w:pStyle w:val="TableText"/>
              <w:keepNext/>
              <w:jc w:val="center"/>
            </w:pPr>
            <w:r>
              <w:rPr>
                <w:sz w:val="20"/>
              </w:rPr>
              <w:t>4,3</w:t>
            </w:r>
          </w:p>
        </w:tc>
        <w:tc>
          <w:tcPr>
            <w:tcW w:type="dxa" w:w="2098"/>
            <w:vAlign w:val="center"/>
          </w:tcPr>
          <w:p>
            <w:pPr>
              <w:pStyle w:val="TableText"/>
              <w:keepNext/>
              <w:jc w:val="center"/>
            </w:pPr>
            <w:r>
              <w:rPr>
                <w:sz w:val="20"/>
              </w:rPr>
              <w:t>5,0</w:t>
            </w:r>
          </w:p>
        </w:tc>
      </w:tr>
      <w:tr>
        <w:trPr>
          <w:cantSplit/>
        </w:trPr>
        <w:tc>
          <w:tcPr>
            <w:tcW w:type="dxa" w:w="2948"/>
            <w:vAlign w:val="center"/>
          </w:tcPr>
          <w:p>
            <w:pPr>
              <w:pStyle w:val="TableText"/>
              <w:keepNext/>
              <w:jc w:val="left"/>
            </w:pPr>
            <w:r>
              <w:rPr>
                <w:sz w:val="20"/>
              </w:rPr>
              <w:t>Видео: потеряно видеокадров, %</w:t>
            </w:r>
          </w:p>
        </w:tc>
        <w:tc>
          <w:tcPr>
            <w:tcW w:type="dxa" w:w="2154"/>
            <w:vAlign w:val="center"/>
          </w:tcPr>
          <w:p>
            <w:pPr>
              <w:pStyle w:val="TableText"/>
              <w:keepNext/>
              <w:jc w:val="center"/>
            </w:pPr>
            <w:r>
              <w:rPr>
                <w:sz w:val="20"/>
              </w:rPr>
              <w:t>2,1</w:t>
            </w:r>
          </w:p>
        </w:tc>
        <w:tc>
          <w:tcPr>
            <w:tcW w:type="dxa" w:w="2154"/>
            <w:vAlign w:val="center"/>
          </w:tcPr>
          <w:p>
            <w:pPr>
              <w:pStyle w:val="TableText"/>
              <w:keepNext/>
              <w:jc w:val="center"/>
            </w:pPr>
            <w:r>
              <w:rPr>
                <w:sz w:val="20"/>
              </w:rPr>
              <w:t>2,2</w:t>
            </w:r>
          </w:p>
        </w:tc>
        <w:tc>
          <w:tcPr>
            <w:tcW w:type="dxa" w:w="2098"/>
            <w:vAlign w:val="center"/>
          </w:tcPr>
          <w:p>
            <w:pPr>
              <w:pStyle w:val="TableText"/>
              <w:keepNext/>
              <w:jc w:val="center"/>
            </w:pPr>
            <w:r>
              <w:rPr>
                <w:sz w:val="20"/>
              </w:rPr>
              <w:t>1,4</w:t>
            </w:r>
          </w:p>
        </w:tc>
      </w:tr>
      <w:tr>
        <w:trPr>
          <w:cantSplit/>
        </w:trPr>
        <w:tc>
          <w:tcPr>
            <w:tcW w:type="dxa" w:w="2948"/>
            <w:vAlign w:val="center"/>
          </w:tcPr>
          <w:p>
            <w:pPr>
              <w:pStyle w:val="TableText"/>
              <w:keepNext/>
              <w:jc w:val="left"/>
            </w:pPr>
            <w:r>
              <w:rPr>
                <w:sz w:val="20"/>
              </w:rPr>
              <w:t>Задержка по квитанции (медиана), мс</w:t>
            </w:r>
          </w:p>
        </w:tc>
        <w:tc>
          <w:tcPr>
            <w:tcW w:type="dxa" w:w="2154"/>
            <w:vAlign w:val="center"/>
          </w:tcPr>
          <w:p>
            <w:pPr>
              <w:pStyle w:val="TableText"/>
              <w:keepNext/>
              <w:jc w:val="center"/>
            </w:pPr>
            <w:r>
              <w:rPr>
                <w:sz w:val="20"/>
              </w:rPr>
              <w:t>211</w:t>
            </w:r>
          </w:p>
        </w:tc>
        <w:tc>
          <w:tcPr>
            <w:tcW w:type="dxa" w:w="2154"/>
            <w:vAlign w:val="center"/>
          </w:tcPr>
          <w:p>
            <w:pPr>
              <w:pStyle w:val="TableText"/>
              <w:keepNext/>
              <w:jc w:val="center"/>
            </w:pPr>
            <w:r>
              <w:rPr>
                <w:sz w:val="20"/>
              </w:rPr>
              <w:t>230</w:t>
            </w:r>
          </w:p>
        </w:tc>
        <w:tc>
          <w:tcPr>
            <w:tcW w:type="dxa" w:w="2098"/>
            <w:vAlign w:val="center"/>
          </w:tcPr>
          <w:p>
            <w:pPr>
              <w:pStyle w:val="TableText"/>
              <w:keepNext/>
              <w:jc w:val="center"/>
            </w:pPr>
            <w:r>
              <w:rPr>
                <w:sz w:val="20"/>
              </w:rPr>
              <w:t>340–500</w:t>
            </w:r>
          </w:p>
        </w:tc>
      </w:tr>
      <w:tr>
        <w:trPr>
          <w:cantSplit/>
        </w:trPr>
        <w:tc>
          <w:tcPr>
            <w:tcW w:type="dxa" w:w="2948"/>
            <w:vAlign w:val="center"/>
          </w:tcPr>
          <w:p>
            <w:pPr>
              <w:pStyle w:val="TableText"/>
              <w:keepNext/>
              <w:jc w:val="left"/>
            </w:pPr>
            <w:r>
              <w:rPr>
                <w:sz w:val="20"/>
              </w:rPr>
              <w:t>Отношение сигнал/фон у платы с камерой, дБ</w:t>
            </w:r>
          </w:p>
        </w:tc>
        <w:tc>
          <w:tcPr>
            <w:tcW w:type="dxa" w:w="2154"/>
            <w:vAlign w:val="center"/>
          </w:tcPr>
          <w:p>
            <w:pPr>
              <w:pStyle w:val="TableText"/>
              <w:keepNext/>
              <w:jc w:val="center"/>
            </w:pPr>
            <w:r>
              <w:rPr>
                <w:sz w:val="20"/>
              </w:rPr>
              <w:t>24 (20–30)</w:t>
            </w:r>
          </w:p>
        </w:tc>
        <w:tc>
          <w:tcPr>
            <w:tcW w:type="dxa" w:w="2154"/>
            <w:vAlign w:val="center"/>
          </w:tcPr>
          <w:p>
            <w:pPr>
              <w:pStyle w:val="TableText"/>
              <w:keepNext/>
              <w:jc w:val="center"/>
            </w:pPr>
            <w:r>
              <w:rPr>
                <w:sz w:val="20"/>
              </w:rPr>
              <w:t>15 (9–22)</w:t>
            </w:r>
          </w:p>
        </w:tc>
        <w:tc>
          <w:tcPr>
            <w:tcW w:type="dxa" w:w="2098"/>
            <w:vAlign w:val="center"/>
          </w:tcPr>
          <w:p>
            <w:pPr>
              <w:pStyle w:val="TableText"/>
              <w:keepNext/>
              <w:jc w:val="center"/>
            </w:pPr>
            <w:r>
              <w:rPr>
                <w:sz w:val="20"/>
              </w:rPr>
              <w:t>24–40</w:t>
            </w:r>
          </w:p>
        </w:tc>
      </w:tr>
      <w:tr>
        <w:trPr>
          <w:cantSplit/>
        </w:trPr>
        <w:tc>
          <w:tcPr>
            <w:tcW w:type="dxa" w:w="2948"/>
            <w:vAlign w:val="center"/>
          </w:tcPr>
          <w:p>
            <w:pPr>
              <w:pStyle w:val="TableText"/>
              <w:keepNext/>
              <w:jc w:val="left"/>
            </w:pPr>
            <w:r>
              <w:rPr>
                <w:sz w:val="20"/>
              </w:rPr>
              <w:t>Фон у платы с камерой, дБм</w:t>
            </w:r>
          </w:p>
        </w:tc>
        <w:tc>
          <w:tcPr>
            <w:tcW w:type="dxa" w:w="2154"/>
            <w:vAlign w:val="center"/>
          </w:tcPr>
          <w:p>
            <w:pPr>
              <w:pStyle w:val="TableText"/>
              <w:keepNext/>
              <w:jc w:val="center"/>
            </w:pPr>
            <w:r>
              <w:rPr>
                <w:sz w:val="20"/>
              </w:rPr>
              <w:t>−90</w:t>
            </w:r>
          </w:p>
        </w:tc>
        <w:tc>
          <w:tcPr>
            <w:tcW w:type="dxa" w:w="2154"/>
            <w:vAlign w:val="center"/>
          </w:tcPr>
          <w:p>
            <w:pPr>
              <w:pStyle w:val="TableText"/>
              <w:keepNext/>
              <w:jc w:val="center"/>
            </w:pPr>
            <w:r>
              <w:rPr>
                <w:sz w:val="20"/>
              </w:rPr>
              <w:t>−90</w:t>
            </w:r>
          </w:p>
        </w:tc>
        <w:tc>
          <w:tcPr>
            <w:tcW w:type="dxa" w:w="2098"/>
            <w:vAlign w:val="center"/>
          </w:tcPr>
          <w:p>
            <w:pPr>
              <w:pStyle w:val="TableText"/>
              <w:keepNext/>
              <w:jc w:val="center"/>
            </w:pPr>
            <w:r>
              <w:rPr>
                <w:sz w:val="20"/>
              </w:rPr>
              <w:t>от −60 до −101 в разные дни</w:t>
            </w:r>
          </w:p>
        </w:tc>
      </w:tr>
      <w:tr>
        <w:trPr>
          <w:cantSplit/>
        </w:trPr>
        <w:tc>
          <w:tcPr>
            <w:tcW w:type="dxa" w:w="2948"/>
            <w:vAlign w:val="center"/>
          </w:tcPr>
          <w:p>
            <w:pPr>
              <w:pStyle w:val="TableText"/>
              <w:jc w:val="left"/>
            </w:pPr>
            <w:r>
              <w:rPr>
                <w:sz w:val="20"/>
              </w:rPr>
              <w:t>Мощность передатчика камеры, дБм</w:t>
            </w:r>
          </w:p>
        </w:tc>
        <w:tc>
          <w:tcPr>
            <w:tcW w:type="dxa" w:w="2154"/>
            <w:vAlign w:val="center"/>
          </w:tcPr>
          <w:p>
            <w:pPr>
              <w:pStyle w:val="TableText"/>
              <w:jc w:val="center"/>
            </w:pPr>
            <w:r>
              <w:rPr>
                <w:sz w:val="20"/>
              </w:rPr>
              <w:t>20</w:t>
            </w:r>
          </w:p>
        </w:tc>
        <w:tc>
          <w:tcPr>
            <w:tcW w:type="dxa" w:w="2154"/>
            <w:vAlign w:val="center"/>
          </w:tcPr>
          <w:p>
            <w:pPr>
              <w:pStyle w:val="TableText"/>
              <w:jc w:val="center"/>
            </w:pPr>
            <w:r>
              <w:rPr>
                <w:sz w:val="20"/>
              </w:rPr>
              <w:t>14</w:t>
            </w:r>
          </w:p>
        </w:tc>
        <w:tc>
          <w:tcPr>
            <w:tcW w:type="dxa" w:w="2098"/>
            <w:vAlign w:val="center"/>
          </w:tcPr>
          <w:p>
            <w:pPr>
              <w:pStyle w:val="TableText"/>
              <w:jc w:val="center"/>
            </w:pPr>
            <w:r>
              <w:rPr>
                <w:sz w:val="20"/>
              </w:rPr>
              <w:t>1 (регулятор, предел 14)</w:t>
            </w:r>
          </w:p>
        </w:tc>
      </w:tr>
    </w:tbl>
    <w:p>
      <w:pPr>
        <w:spacing w:line="240" w:lineRule="auto"/>
      </w:pPr>
    </w:p>
    <w:p>
      <w:r>
        <w:t>На короткой трассе Wi-Fi 2,4 ГГц даёт ёмкость в 15–19 раз больше, чем Wi-Fi HaLow, а видеопоток около 1 Мбит/с, ограниченный камерой, оба канала передают сопоставимо. Запас по сигналу у Wi-Fi HaLow при этом больше: регулятор держит мощность 1 дБм при отношении сигнал/фон 24–40 дБ, тогда как Wi-Fi 2,4 ГГц при 14–20 дБм имеет 15–24 дБ, то есть при удалении начнёт терять видео раньше. Фон у платы с камерой на 2,4 ГГц постоянен (−90 дБм), в диапазоне 867 МГц он менялся по дням, и помехи камеры сильнее влияют на Wi-Fi HaLow. Задержку Wi-Fi HaLow увеличивают досылка фрагментов и паузы планирования, которых в Wi-Fi-тракте нет. Измерения Wi-Fi HaLow и Wi-Fi 2,4 ГГц на трассе 5 м через стену выполнены в разные дни, а канал меняется по времени суток, поэтому это сравнение приблизительное; точное сравнение на одних и тех же положениях приёмника дало измерение границы связи.</w:t>
      </w:r>
    </w:p>
    <w:p>
      <w:r>
        <w:rPr>
          <w:b/>
        </w:rPr>
        <w:t xml:space="preserve">Граница связи на идентичной платформе. </w:t>
      </w:r>
      <w:r>
        <w:t>Измерение границы связи обеих технологий на одних и тех же положениях приёмника (таблица 3.10) подтвердило, что Wi-Fi 2,4 ГГц теряет видео раньше. На трассе прямой видимости видео Wi-Fi 2,4 ГГц прекращается на ≈ 0,62 км, а Wi-Fi HaLow — на ≈ 1,10 км; граница связи — ≈ 0,87 и ≈ 1,55 км. Wi-Fi HaLow удерживает связь в 1,8 раза дальше при мощности на 6 дБ ниже: допустимые потери у технологий близки (95 и 99 дБ), а на частоте 867 МГц те же потери набираются на расстоянии в 2,8 раза большем.</w:t>
      </w:r>
    </w:p>
    <w:p>
      <w:r>
        <w:rPr>
          <w:b/>
        </w:rPr>
        <w:t xml:space="preserve">Расчёт на идентичной платформе. </w:t>
      </w:r>
      <w:r>
        <w:t xml:space="preserve">Плата T-HaLow несёт оба радиотракта, и расчёт таблицы </w:t>
      </w:r>
      <w:r>
        <w:t>3.8</w:t>
      </w:r>
      <w:r>
        <w:t xml:space="preserve"> сравнивает их при нормах мощности Российской Федерации. Wi-Fi 2,4 ГГц работает в режимах стандарта: 802.11n — современный режим со скоростями от 6,5 Мбит/с в канале 20 МГц и 802.11b — старейший режим, от 1 Мбит/с. При одной и той же скорости физического уровня 6,5 Мбит/с (Wi-Fi HaLow 2 МГц MCS 7 и Wi-Fi 802.11n MCS 0) дальности в свободном пространстве сопоставимы — 0,98 и 1,32 км: выигрыш Wi-Fi HaLow на затухании (9,0 дБ) компенсируется меньшей разрешённой мощностью (на 6,0 дБ ниже у стенда) и оценочной чувствительностью. Wi-Fi HaLow выигрывает на малых скоростях, которых у 802.11n нет: на MCS 0 (0,65 Мбит/с) — 4,90 км против 2,58 км у 802.11b на 1 Мбит/с, — и за препятствиями: бетонная стена ослабляет сигнал 867 МГц на 6,3 дБ меньше, чем 2,4 ГГц [18]. У земли за точкой излома потери двухлучевой модели от частоты не зависят, и частотное преимущество исчезает; модель при этом не учитывает дифракцию и затухание в растительности, где диапазон ниже 1 ГГц выигрывает [6]. Скорость Wi-Fi 2,4 ГГц выше на порядок. По опубликованным данным, ESP32-S3 передаёт в эфире 20–30 Мбит/с [20], а модуль ESP32-CAM (процессор ESP32, камера OV2640) — видео 480 × 320 с частотой 20,9 видеокадра в секунду (лаборатория, расстояние не указано) [40]. На стенде этой работы ёмкость Wi-Fi 2,4 ГГц той же платы составила 19,2 Мбит/с (таблица 3.12), а Wi-Fi HaLow — 1063 кбит/с полезного видео при 5 видеокадрах в секунду.</w:t>
      </w:r>
    </w:p>
    <w:p>
      <w:r>
        <w:rPr>
          <w:b/>
        </w:rPr>
        <w:t xml:space="preserve">Сравнение с LoRa. </w:t>
      </w:r>
      <w:r>
        <w:t>LoRa на этом стенде не испытывалась; сравнение выполнено по опубликованным данным. LoRa на 20–30 дБ превосходит по чувствительности и намного — по дальности: по измерениям [3] в городской застройке при 13 дБм в режиме SF8 (коэффициент расширения спектра 8, канал 125 кГц) связь без потерь сохранялась на 1180 м при RSSI −112 дБм, на 1350 м доля потерь составила 10 %, на 1750 м связь пропала [3]; бюджет канала распространённых настроек — 140–158,5 дБ [41]; по пользовательским данным, канал управления ExpressLRS 900 МГц работал с БПЛА на 40,7 км при 10 мВт [42]. Но скорость LoRa — 0,29–5,5 кбит/с в канале 125 кГц [3], ниже полученной полезной скорости Wi-Fi HaLow в 190–3600 раз, а время передачи одного пакета — от 0,39 до 31 мс в режимах ExpressLRS [43] и до 2,2 с на 20 Б при SF12 [4]. LoRa — канал телеметрии и управления, а не видео.</w:t>
      </w:r>
    </w:p>
    <w:p>
      <w:r>
        <w:t xml:space="preserve">Наглядно соотношение скорости и дальности трёх технологий показано на рисунке </w:t>
      </w:r>
      <w:r>
        <w:t>3.3</w:t>
      </w:r>
      <w:r>
        <w:t xml:space="preserve">: каждая точка — режим модуляции, дальность рассчитана для свободного пространства с запасом 10 дБ на замирания (как в таблице </w:t>
      </w:r>
      <w:r>
        <w:t>3.8</w:t>
      </w:r>
      <w:r>
        <w:t>) при нормах мощности Российской Федерации. При скорости около 6,5 Мбит/с Wi-Fi HaLow и Wi-Fi 2,4 ГГц близки; на скоростях ниже 1 Мбит/с, которых у Wi-Fi 2,4 ГГц нет (наименьшая у 802.11n — 6,5, у 802.11b — 1 Мбит/с), Wi-Fi HaLow продолжает связь до нескольких километров; LoRa уходит на десятки и сотни километров, но на скоростях в сотни и тысячи раз ниже видеопотока стенда (пунктир).</w:t>
      </w:r>
    </w:p>
    <w:p>
      <w:pPr>
        <w:keepNext/>
        <w:ind w:firstLine="0"/>
        <w:jc w:val="center"/>
      </w:pPr>
      <w:r>
        <w:drawing>
          <wp:inline xmlns:a="http://schemas.openxmlformats.org/drawingml/2006/main" xmlns:pic="http://schemas.openxmlformats.org/drawingml/2006/picture">
            <wp:extent cx="5760000" cy="3963392"/>
            <wp:docPr id="6" name="Picture 6"/>
            <wp:cNvGraphicFramePr>
              <a:graphicFrameLocks noChangeAspect="1"/>
            </wp:cNvGraphicFramePr>
            <a:graphic>
              <a:graphicData uri="http://schemas.openxmlformats.org/drawingml/2006/picture">
                <pic:pic>
                  <pic:nvPicPr>
                    <pic:cNvPr id="0" name="fig_rate_range.png"/>
                    <pic:cNvPicPr/>
                  </pic:nvPicPr>
                  <pic:blipFill>
                    <a:blip r:embed="rId15"/>
                    <a:stretch>
                      <a:fillRect/>
                    </a:stretch>
                  </pic:blipFill>
                  <pic:spPr>
                    <a:xfrm>
                      <a:off x="0" y="0"/>
                      <a:ext cx="5760000" cy="3963392"/>
                    </a:xfrm>
                    <a:prstGeom prst="rect"/>
                  </pic:spPr>
                </pic:pic>
              </a:graphicData>
            </a:graphic>
          </wp:inline>
        </w:drawing>
      </w:r>
    </w:p>
    <w:p>
      <w:pPr>
        <w:ind w:firstLine="0"/>
        <w:jc w:val="center"/>
      </w:pPr>
      <w:r>
        <w:t>Рисунок 3.3 – Скорость физического уровня и расчётная дальность Wi-Fi HaLow, Wi-Fi 2,4 ГГц и LoRa</w:t>
      </w:r>
    </w:p>
    <w:p>
      <w:r>
        <w:t xml:space="preserve">Влияние высоты антенн показывает тепловая карта на рисунке </w:t>
      </w:r>
      <w:r>
        <w:t>3.4</w:t>
      </w:r>
      <w:r>
        <w:t xml:space="preserve">. Она получена расчётом: для каждого режима модуляции по бюджету канала (формула </w:t>
      </w:r>
      <w:r>
        <w:t>(3.3)</w:t>
      </w:r>
      <w:r>
        <w:t>) найдены допустимые потери, по модели трассы — дальность, на которой они достигаются, и в каждой ячейке указана наибольшая скорость, при которой связь на этом расстоянии ещё сохраняется. У земли (антенны на 1,5 м) за точкой излома потери от частоты не зависят, и все технологии теряют дальность в разы. С антенной на борту на высоте 50 м Wi-Fi HaLow сохраняет 650 кбит/с на 1–2 км, а Wi-Fi 2,4 ГГц по расчёту даёт 1–6,5 Мбит/с до 2 км. Причин две: на 2,4 ГГц разрешено 20 дБм против 14 дБм, а на скоростях от 6,5 Мбит/с чувствительность широкого канала Wi-Fi лучше, чем у узкого канала Wi-Fi HaLow на сложной модуляции; кроме того, для антенны на высоте точка излома на 2,4 ГГц почти втрое дальше. Чёткого порога скорости для видео нет: при меньшей скорости видео сохраняется за счёт снижения качества сжатия и разрешения (раздел 3.4). Промежуточные режимы MCS 1–6 на рисунке не показаны: их чувствительность паспорт не даёт. Все дальности рисунка — возможности радиотрактов при тепловом шуме. Измеренная граница данной пары плат: видео с потерями до 9 % — около 310 м, видео прекращается на 1,10 км, связь — до 1,55 км (таблица 3.10).</w:t>
      </w:r>
    </w:p>
    <w:p>
      <w:pPr>
        <w:keepNext/>
        <w:ind w:firstLine="0"/>
        <w:jc w:val="center"/>
      </w:pPr>
      <w:r>
        <w:drawing>
          <wp:inline xmlns:a="http://schemas.openxmlformats.org/drawingml/2006/main" xmlns:pic="http://schemas.openxmlformats.org/drawingml/2006/picture">
            <wp:extent cx="5760000" cy="4668339"/>
            <wp:docPr id="7" name="Picture 7"/>
            <wp:cNvGraphicFramePr>
              <a:graphicFrameLocks noChangeAspect="1"/>
            </wp:cNvGraphicFramePr>
            <a:graphic>
              <a:graphicData uri="http://schemas.openxmlformats.org/drawingml/2006/picture">
                <pic:pic>
                  <pic:nvPicPr>
                    <pic:cNvPr id="0" name="fig_rate_heatmap.png"/>
                    <pic:cNvPicPr/>
                  </pic:nvPicPr>
                  <pic:blipFill>
                    <a:blip r:embed="rId16"/>
                    <a:stretch>
                      <a:fillRect/>
                    </a:stretch>
                  </pic:blipFill>
                  <pic:spPr>
                    <a:xfrm>
                      <a:off x="0" y="0"/>
                      <a:ext cx="5760000" cy="4668339"/>
                    </a:xfrm>
                    <a:prstGeom prst="rect"/>
                  </pic:spPr>
                </pic:pic>
              </a:graphicData>
            </a:graphic>
          </wp:inline>
        </w:drawing>
      </w:r>
    </w:p>
    <w:p>
      <w:pPr>
        <w:ind w:firstLine="0"/>
        <w:jc w:val="center"/>
      </w:pPr>
      <w:r>
        <w:t>Рисунок 3.4 – Наибольшая скорость физического уровня в зависимости от расстояния и высоты антенн (расчёт)</w:t>
      </w:r>
    </w:p>
    <w:p>
      <w:r>
        <w:t xml:space="preserve">Проникающая способность сравнена на рисунке </w:t>
      </w:r>
      <w:r>
        <w:t>3.5</w:t>
      </w:r>
      <w:r>
        <w:t xml:space="preserve"> по модели 3GPP TR 38.901 [18]: бетонная стена ослабляет сигнал 867 МГц на 8,5 дБ, 2,44 ГГц — на 14,8 дБ, 5,5 ГГц — на 27,0 дБ. Разница в 6,3 дБ относительно Wi-Fi 2,4 ГГц эквивалентна увеличению дальности примерно вдвое в свободном пространстве.</w:t>
      </w:r>
    </w:p>
    <w:p>
      <w:pPr>
        <w:keepNext/>
        <w:ind w:firstLine="0"/>
        <w:jc w:val="center"/>
      </w:pPr>
      <w:r>
        <w:drawing>
          <wp:inline xmlns:a="http://schemas.openxmlformats.org/drawingml/2006/main" xmlns:pic="http://schemas.openxmlformats.org/drawingml/2006/picture">
            <wp:extent cx="4320000" cy="2587404"/>
            <wp:docPr id="8" name="Picture 8"/>
            <wp:cNvGraphicFramePr>
              <a:graphicFrameLocks noChangeAspect="1"/>
            </wp:cNvGraphicFramePr>
            <a:graphic>
              <a:graphicData uri="http://schemas.openxmlformats.org/drawingml/2006/picture">
                <pic:pic>
                  <pic:nvPicPr>
                    <pic:cNvPr id="0" name="fig_wall.png"/>
                    <pic:cNvPicPr/>
                  </pic:nvPicPr>
                  <pic:blipFill>
                    <a:blip r:embed="rId17"/>
                    <a:stretch>
                      <a:fillRect/>
                    </a:stretch>
                  </pic:blipFill>
                  <pic:spPr>
                    <a:xfrm>
                      <a:off x="0" y="0"/>
                      <a:ext cx="4320000" cy="2587404"/>
                    </a:xfrm>
                    <a:prstGeom prst="rect"/>
                  </pic:spPr>
                </pic:pic>
              </a:graphicData>
            </a:graphic>
          </wp:inline>
        </w:drawing>
      </w:r>
    </w:p>
    <w:p>
      <w:pPr>
        <w:ind w:firstLine="0"/>
        <w:jc w:val="center"/>
      </w:pPr>
      <w:r>
        <w:t>Рисунок 3.5 – Потери в бетонной стене на частотах Wi-Fi HaLow и Wi-Fi</w:t>
      </w:r>
    </w:p>
    <w:p>
      <w:r>
        <w:t xml:space="preserve">Стена — лишь одно из препятствий. БПЛА чаще работает над лесом и за полосами деревьев, и для них потери оценены по модели Вайсбергера [44]. Если на пути сигнала d метров леса (от 14 до 400 м), потери в нём составляют L = 1,33 f^0,284 d^0,588 дБ, где f — частота, ГГц. 100 м леса на трассе ослабляют сигнал 867 МГц на 19,2 дБ, 2,44 ГГц — на 25,7 дБ, 5,5 ГГц — на 32,4 дБ, 400 м леса — на 43,3, 58,1 и 73,1 дБ (рисунок </w:t>
      </w:r>
      <w:r>
        <w:t>3.6</w:t>
      </w:r>
      <w:r>
        <w:t xml:space="preserve">). Разница с Wi-Fi 2,4 ГГц растёт с длиной лесного участка — с 6,5 до 14,8 дБ — и за лесом выигрыш Wi-Fi HaLow больше, чем за стеной. Влияние ровного грунта описывает двухлучевая модель (раздел 2.1, рисунок </w:t>
      </w:r>
      <w:r>
        <w:t>3.4</w:t>
      </w:r>
      <w:r>
        <w:t>): за точкой излома потери от частоты не зависят, и там выигрыш определяется высотой антенн, а не частотой.</w:t>
      </w:r>
    </w:p>
    <w:p>
      <w:pPr>
        <w:keepNext/>
        <w:ind w:firstLine="0"/>
        <w:jc w:val="center"/>
      </w:pPr>
      <w:r>
        <w:drawing>
          <wp:inline xmlns:a="http://schemas.openxmlformats.org/drawingml/2006/main" xmlns:pic="http://schemas.openxmlformats.org/drawingml/2006/picture">
            <wp:extent cx="5040000" cy="3097895"/>
            <wp:docPr id="9" name="Picture 9"/>
            <wp:cNvGraphicFramePr>
              <a:graphicFrameLocks noChangeAspect="1"/>
            </wp:cNvGraphicFramePr>
            <a:graphic>
              <a:graphicData uri="http://schemas.openxmlformats.org/drawingml/2006/picture">
                <pic:pic>
                  <pic:nvPicPr>
                    <pic:cNvPr id="0" name="fig_foliage.png"/>
                    <pic:cNvPicPr/>
                  </pic:nvPicPr>
                  <pic:blipFill>
                    <a:blip r:embed="rId18"/>
                    <a:stretch>
                      <a:fillRect/>
                    </a:stretch>
                  </pic:blipFill>
                  <pic:spPr>
                    <a:xfrm>
                      <a:off x="0" y="0"/>
                      <a:ext cx="5040000" cy="3097895"/>
                    </a:xfrm>
                    <a:prstGeom prst="rect"/>
                  </pic:spPr>
                </pic:pic>
              </a:graphicData>
            </a:graphic>
          </wp:inline>
        </w:drawing>
      </w:r>
    </w:p>
    <w:p>
      <w:pPr>
        <w:ind w:firstLine="0"/>
        <w:jc w:val="center"/>
      </w:pPr>
      <w:r>
        <w:t>Рисунок 3.6 – Затухание на участке трассы, проходящем через лес, по модели Вайсбергера (расчёт)</w:t>
      </w:r>
    </w:p>
    <w:p>
      <w:r>
        <w:t xml:space="preserve">Сводка по критериям приведена в таблице </w:t>
      </w:r>
      <w:r>
        <w:t>3.13</w:t>
      </w:r>
      <w:r>
        <w:t>.</w:t>
      </w:r>
    </w:p>
    <w:p>
      <w:pPr>
        <w:pStyle w:val="TableCaption"/>
        <w:ind w:firstLine="0"/>
      </w:pPr>
      <w:r>
        <w:t>Таблица 3.13 – Сравнение Wi-Fi HaLow с Wi-Fi 2,4/5 ГГц и LoRa по критериям</w:t>
      </w:r>
    </w:p>
    <w:tbl>
      <w:tblPr>
        <w:tblStyle w:val="TableGrid"/>
        <w:tblW w:type="auto" w:w="0"/>
        <w:jc w:val="center"/>
        <w:tblLayout w:type="fixed"/>
        <w:tblLook w:firstColumn="1" w:firstRow="1" w:lastColumn="0" w:lastRow="0" w:noHBand="0" w:noVBand="1" w:val="04A0"/>
        <w:tblCellMar>
          <w:left w:w="57" w:type="dxa"/>
          <w:right w:w="57" w:type="dxa"/>
        </w:tblCellMar>
      </w:tblPr>
      <w:tblGrid>
        <w:gridCol w:w="1700"/>
        <w:gridCol w:w="2267"/>
        <w:gridCol w:w="1927"/>
        <w:gridCol w:w="1474"/>
        <w:gridCol w:w="1984"/>
      </w:tblGrid>
      <w:tr>
        <w:trPr>
          <w:cantSplit/>
          <w:tblHeader w:val="true"/>
        </w:trPr>
        <w:tc>
          <w:tcPr>
            <w:tcW w:type="dxa" w:w="1701"/>
            <w:vAlign w:val="center"/>
          </w:tcPr>
          <w:p>
            <w:pPr>
              <w:pStyle w:val="TableText"/>
              <w:keepNext/>
              <w:jc w:val="center"/>
            </w:pPr>
            <w:r>
              <w:rPr>
                <w:b/>
                <w:sz w:val="20"/>
              </w:rPr>
              <w:t>Критерий</w:t>
            </w:r>
          </w:p>
        </w:tc>
        <w:tc>
          <w:tcPr>
            <w:tcW w:type="dxa" w:w="2268"/>
            <w:vAlign w:val="center"/>
          </w:tcPr>
          <w:p>
            <w:pPr>
              <w:pStyle w:val="TableText"/>
              <w:keepNext/>
              <w:jc w:val="center"/>
            </w:pPr>
            <w:r>
              <w:rPr>
                <w:b/>
                <w:sz w:val="20"/>
              </w:rPr>
              <w:t>Wi-Fi HaLow, 867 МГц, 2 МГц</w:t>
            </w:r>
          </w:p>
        </w:tc>
        <w:tc>
          <w:tcPr>
            <w:tcW w:type="dxa" w:w="1928"/>
            <w:vAlign w:val="center"/>
          </w:tcPr>
          <w:p>
            <w:pPr>
              <w:pStyle w:val="TableText"/>
              <w:keepNext/>
              <w:jc w:val="center"/>
            </w:pPr>
            <w:r>
              <w:rPr>
                <w:b/>
                <w:sz w:val="20"/>
              </w:rPr>
              <w:t>Wi-Fi 2,4 ГГц (ESP32-S3)</w:t>
            </w:r>
          </w:p>
        </w:tc>
        <w:tc>
          <w:tcPr>
            <w:tcW w:type="dxa" w:w="1474"/>
            <w:vAlign w:val="center"/>
          </w:tcPr>
          <w:p>
            <w:pPr>
              <w:pStyle w:val="TableText"/>
              <w:keepNext/>
              <w:jc w:val="center"/>
            </w:pPr>
            <w:r>
              <w:rPr>
                <w:b/>
                <w:sz w:val="20"/>
              </w:rPr>
              <w:t>Wi-Fi 5 ГГц</w:t>
            </w:r>
          </w:p>
        </w:tc>
        <w:tc>
          <w:tcPr>
            <w:tcW w:type="dxa" w:w="1984"/>
            <w:vAlign w:val="center"/>
          </w:tcPr>
          <w:p>
            <w:pPr>
              <w:pStyle w:val="TableText"/>
              <w:keepNext/>
              <w:jc w:val="center"/>
            </w:pPr>
            <w:r>
              <w:rPr>
                <w:b/>
                <w:sz w:val="20"/>
              </w:rPr>
              <w:t>LoRa</w:t>
            </w:r>
          </w:p>
        </w:tc>
      </w:tr>
      <w:tr>
        <w:trPr>
          <w:cantSplit/>
        </w:trPr>
        <w:tc>
          <w:tcPr>
            <w:tcW w:type="dxa" w:w="1701"/>
            <w:vAlign w:val="center"/>
          </w:tcPr>
          <w:p>
            <w:pPr>
              <w:pStyle w:val="TableText"/>
              <w:keepNext/>
              <w:jc w:val="left"/>
            </w:pPr>
            <w:r>
              <w:rPr>
                <w:sz w:val="20"/>
              </w:rPr>
              <w:t>Дальность</w:t>
            </w:r>
          </w:p>
        </w:tc>
        <w:tc>
          <w:tcPr>
            <w:tcW w:type="dxa" w:w="2268"/>
            <w:vAlign w:val="center"/>
          </w:tcPr>
          <w:p>
            <w:pPr>
              <w:pStyle w:val="TableText"/>
              <w:keepNext/>
              <w:jc w:val="left"/>
            </w:pPr>
            <w:r>
              <w:rPr>
                <w:sz w:val="20"/>
              </w:rPr>
              <w:t>измерено при 14 дБм на трассе прямой видимости: связь сохраняется до 1,55 км, видео прекращается на 1,10 км (табл. 3.10); по паспорту — 1200 м со скоростью более 2 Мбит/с при +20 дБм [17]; по расчёту при 14 дБм — 0,98–4,90 км в свободном пространстве (табл. 3.8)</w:t>
            </w:r>
          </w:p>
        </w:tc>
        <w:tc>
          <w:tcPr>
            <w:tcW w:type="dxa" w:w="1928"/>
            <w:vAlign w:val="center"/>
          </w:tcPr>
          <w:p>
            <w:pPr>
              <w:pStyle w:val="TableText"/>
              <w:keepNext/>
              <w:jc w:val="left"/>
            </w:pPr>
            <w:r>
              <w:rPr>
                <w:sz w:val="20"/>
              </w:rPr>
              <w:t>измерено при 20 дБм на трассе прямой видимости: связь сохраняется до 0,87 км, видео прекращается на 0,62 км (табл. 3.10); по расчёту при 20 дБм — 0,16–2,58 км в свободном пространстве (табл. 3.8); собственный режим Espressif LR — до 1 км [20]</w:t>
            </w:r>
          </w:p>
        </w:tc>
        <w:tc>
          <w:tcPr>
            <w:tcW w:type="dxa" w:w="1474"/>
            <w:vAlign w:val="center"/>
          </w:tcPr>
          <w:p>
            <w:pPr>
              <w:pStyle w:val="TableText"/>
              <w:keepNext/>
              <w:jc w:val="left"/>
            </w:pPr>
            <w:r>
              <w:rPr>
                <w:sz w:val="20"/>
              </w:rPr>
              <w:t>потери в своб. простр. на 16 дБ выше, чем на 867 МГц (расчёт)</w:t>
            </w:r>
          </w:p>
        </w:tc>
        <w:tc>
          <w:tcPr>
            <w:tcW w:type="dxa" w:w="1984"/>
            <w:vAlign w:val="center"/>
          </w:tcPr>
          <w:p>
            <w:pPr>
              <w:pStyle w:val="TableText"/>
              <w:keepNext/>
              <w:jc w:val="left"/>
            </w:pPr>
            <w:r>
              <w:rPr>
                <w:sz w:val="20"/>
              </w:rPr>
              <w:t>1180 м без потерь в городе, 13 дБм [3]; 40,7 км с БПЛА (пользов.) [42]</w:t>
            </w:r>
          </w:p>
        </w:tc>
      </w:tr>
      <w:tr>
        <w:trPr>
          <w:cantSplit/>
        </w:trPr>
        <w:tc>
          <w:tcPr>
            <w:tcW w:type="dxa" w:w="1701"/>
            <w:vAlign w:val="center"/>
          </w:tcPr>
          <w:p>
            <w:pPr>
              <w:pStyle w:val="TableText"/>
              <w:keepNext/>
              <w:jc w:val="left"/>
            </w:pPr>
            <w:r>
              <w:rPr>
                <w:sz w:val="20"/>
              </w:rPr>
              <w:t>Уровень сигнала, чувствительность</w:t>
            </w:r>
          </w:p>
        </w:tc>
        <w:tc>
          <w:tcPr>
            <w:tcW w:type="dxa" w:w="2268"/>
            <w:vAlign w:val="center"/>
          </w:tcPr>
          <w:p>
            <w:pPr>
              <w:pStyle w:val="TableText"/>
              <w:keepNext/>
              <w:jc w:val="left"/>
            </w:pPr>
            <w:r>
              <w:rPr>
                <w:sz w:val="20"/>
              </w:rPr>
              <w:t>−53 дБм на 5 м (стенд); −59…−69 дБм на 300–1200 м [28]; чувствит. −105 дБм (1 МГц) [17]</w:t>
            </w:r>
          </w:p>
        </w:tc>
        <w:tc>
          <w:tcPr>
            <w:tcW w:type="dxa" w:w="1928"/>
            <w:vAlign w:val="center"/>
          </w:tcPr>
          <w:p>
            <w:pPr>
              <w:pStyle w:val="TableText"/>
              <w:keepNext/>
              <w:jc w:val="left"/>
            </w:pPr>
            <w:r>
              <w:rPr>
                <w:sz w:val="20"/>
              </w:rPr>
              <w:t>−66 дБм при 20 дБм и −75 дБм при 14 дБм на 5 м (стенд, фон плюс сигнал/фон); чувствит. −98,4…−74,2 дБм [21]</w:t>
            </w:r>
          </w:p>
        </w:tc>
        <w:tc>
          <w:tcPr>
            <w:tcW w:type="dxa" w:w="1474"/>
            <w:vAlign w:val="center"/>
          </w:tcPr>
          <w:p>
            <w:pPr>
              <w:pStyle w:val="TableText"/>
              <w:keepNext/>
              <w:jc w:val="left"/>
            </w:pPr>
            <w:r>
              <w:rPr>
                <w:sz w:val="20"/>
              </w:rPr>
              <w:t>ESP32-S3 диапазон 5 ГГц не поддерживает</w:t>
            </w:r>
          </w:p>
        </w:tc>
        <w:tc>
          <w:tcPr>
            <w:tcW w:type="dxa" w:w="1984"/>
            <w:vAlign w:val="center"/>
          </w:tcPr>
          <w:p>
            <w:pPr>
              <w:pStyle w:val="TableText"/>
              <w:keepNext/>
              <w:jc w:val="left"/>
            </w:pPr>
            <w:r>
              <w:rPr>
                <w:sz w:val="20"/>
              </w:rPr>
              <w:t>чувствит. −123…−137 дБм [3]</w:t>
            </w:r>
          </w:p>
        </w:tc>
      </w:tr>
      <w:tr>
        <w:trPr>
          <w:cantSplit/>
        </w:trPr>
        <w:tc>
          <w:tcPr>
            <w:tcW w:type="dxa" w:w="1701"/>
            <w:vAlign w:val="center"/>
          </w:tcPr>
          <w:p>
            <w:pPr>
              <w:pStyle w:val="TableText"/>
              <w:keepNext/>
              <w:jc w:val="left"/>
            </w:pPr>
            <w:r>
              <w:rPr>
                <w:sz w:val="20"/>
              </w:rPr>
              <w:t>Задержка</w:t>
            </w:r>
          </w:p>
        </w:tc>
        <w:tc>
          <w:tcPr>
            <w:tcW w:type="dxa" w:w="2268"/>
            <w:vAlign w:val="center"/>
          </w:tcPr>
          <w:p>
            <w:pPr>
              <w:pStyle w:val="TableText"/>
              <w:keepNext/>
              <w:jc w:val="left"/>
            </w:pPr>
            <w:r>
              <w:rPr>
                <w:sz w:val="20"/>
              </w:rPr>
              <w:t>RTT по квитанции, медиана 0,34–0,50 с (стенд, видео); ретранслятор удваивает [28]</w:t>
            </w:r>
          </w:p>
        </w:tc>
        <w:tc>
          <w:tcPr>
            <w:tcW w:type="dxa" w:w="1928"/>
            <w:vAlign w:val="center"/>
          </w:tcPr>
          <w:p>
            <w:pPr>
              <w:pStyle w:val="TableText"/>
              <w:keepNext/>
              <w:jc w:val="left"/>
            </w:pPr>
            <w:r>
              <w:rPr>
                <w:sz w:val="20"/>
              </w:rPr>
              <w:t>RTT по квитанции, медиана 0,21–0,23 с (стенд, видео)</w:t>
            </w:r>
          </w:p>
        </w:tc>
        <w:tc>
          <w:tcPr>
            <w:tcW w:type="dxa" w:w="1474"/>
            <w:vAlign w:val="center"/>
          </w:tcPr>
          <w:p>
            <w:pPr>
              <w:pStyle w:val="TableText"/>
              <w:keepNext/>
              <w:jc w:val="left"/>
            </w:pPr>
            <w:r>
              <w:rPr>
                <w:sz w:val="20"/>
              </w:rPr>
              <w:t>на ESP32-S3 не измерить: 5 ГГц не поддерживается</w:t>
            </w:r>
          </w:p>
        </w:tc>
        <w:tc>
          <w:tcPr>
            <w:tcW w:type="dxa" w:w="1984"/>
            <w:vAlign w:val="center"/>
          </w:tcPr>
          <w:p>
            <w:pPr>
              <w:pStyle w:val="TableText"/>
              <w:keepNext/>
              <w:jc w:val="left"/>
            </w:pPr>
            <w:r>
              <w:rPr>
                <w:sz w:val="20"/>
              </w:rPr>
              <w:t>время в эфире пакета 0,39–31 мс [43]; до 2,2 с на 20 Б [4]</w:t>
            </w:r>
          </w:p>
        </w:tc>
      </w:tr>
      <w:tr>
        <w:trPr>
          <w:cantSplit/>
        </w:trPr>
        <w:tc>
          <w:tcPr>
            <w:tcW w:type="dxa" w:w="1701"/>
            <w:vAlign w:val="center"/>
          </w:tcPr>
          <w:p>
            <w:pPr>
              <w:pStyle w:val="TableText"/>
              <w:keepNext/>
              <w:jc w:val="left"/>
            </w:pPr>
            <w:r>
              <w:rPr>
                <w:sz w:val="20"/>
              </w:rPr>
              <w:t>Потери пакетов</w:t>
            </w:r>
          </w:p>
        </w:tc>
        <w:tc>
          <w:tcPr>
            <w:tcW w:type="dxa" w:w="2268"/>
            <w:vAlign w:val="center"/>
          </w:tcPr>
          <w:p>
            <w:pPr>
              <w:pStyle w:val="TableText"/>
              <w:keepNext/>
              <w:jc w:val="left"/>
            </w:pPr>
            <w:r>
              <w:rPr>
                <w:sz w:val="20"/>
              </w:rPr>
              <w:t>1,4 % видеокадров; 2–7 % фрагментов после повторов MAC; PER 50–67 % (стенд)</w:t>
            </w:r>
          </w:p>
        </w:tc>
        <w:tc>
          <w:tcPr>
            <w:tcW w:type="dxa" w:w="1928"/>
            <w:vAlign w:val="center"/>
          </w:tcPr>
          <w:p>
            <w:pPr>
              <w:pStyle w:val="TableText"/>
              <w:keepNext/>
              <w:jc w:val="left"/>
            </w:pPr>
            <w:r>
              <w:rPr>
                <w:sz w:val="20"/>
              </w:rPr>
              <w:t>2,1–2,2 % видеокадров (стенд)</w:t>
            </w:r>
          </w:p>
        </w:tc>
        <w:tc>
          <w:tcPr>
            <w:tcW w:type="dxa" w:w="1474"/>
            <w:vAlign w:val="center"/>
          </w:tcPr>
          <w:p>
            <w:pPr>
              <w:pStyle w:val="TableText"/>
              <w:keepNext/>
              <w:jc w:val="left"/>
            </w:pPr>
            <w:r>
              <w:rPr>
                <w:sz w:val="20"/>
              </w:rPr>
              <w:t>на ESP32-S3 не измерить: 5 ГГц не поддерживается</w:t>
            </w:r>
          </w:p>
        </w:tc>
        <w:tc>
          <w:tcPr>
            <w:tcW w:type="dxa" w:w="1984"/>
            <w:vAlign w:val="center"/>
          </w:tcPr>
          <w:p>
            <w:pPr>
              <w:pStyle w:val="TableText"/>
              <w:keepNext/>
              <w:jc w:val="left"/>
            </w:pPr>
            <w:r>
              <w:rPr>
                <w:sz w:val="20"/>
              </w:rPr>
              <w:t>0 % на 1180 м, 10 % на 1350 м [3]; доставка 80 % в помещении на 115 м [22]</w:t>
            </w:r>
          </w:p>
        </w:tc>
      </w:tr>
      <w:tr>
        <w:trPr>
          <w:cantSplit/>
        </w:trPr>
        <w:tc>
          <w:tcPr>
            <w:tcW w:type="dxa" w:w="1701"/>
            <w:vAlign w:val="center"/>
          </w:tcPr>
          <w:p>
            <w:pPr>
              <w:pStyle w:val="TableText"/>
              <w:keepNext/>
              <w:jc w:val="left"/>
            </w:pPr>
            <w:r>
              <w:rPr>
                <w:sz w:val="20"/>
              </w:rPr>
              <w:t>Пропускная способность</w:t>
            </w:r>
          </w:p>
        </w:tc>
        <w:tc>
          <w:tcPr>
            <w:tcW w:type="dxa" w:w="2268"/>
            <w:vAlign w:val="center"/>
          </w:tcPr>
          <w:p>
            <w:pPr>
              <w:pStyle w:val="TableText"/>
              <w:keepNext/>
              <w:jc w:val="left"/>
            </w:pPr>
            <w:r>
              <w:rPr>
                <w:sz w:val="20"/>
              </w:rPr>
              <w:t>PHY до 6,5 Мбит/с; 1063 кбит/с видео (стенд)</w:t>
            </w:r>
          </w:p>
        </w:tc>
        <w:tc>
          <w:tcPr>
            <w:tcW w:type="dxa" w:w="1928"/>
            <w:vAlign w:val="center"/>
          </w:tcPr>
          <w:p>
            <w:pPr>
              <w:pStyle w:val="TableText"/>
              <w:keepNext/>
              <w:jc w:val="left"/>
            </w:pPr>
            <w:r>
              <w:rPr>
                <w:sz w:val="20"/>
              </w:rPr>
              <w:t>20–30 Мбит/с в эфире [20]</w:t>
            </w:r>
          </w:p>
        </w:tc>
        <w:tc>
          <w:tcPr>
            <w:tcW w:type="dxa" w:w="1474"/>
            <w:vAlign w:val="center"/>
          </w:tcPr>
          <w:p>
            <w:pPr>
              <w:pStyle w:val="TableText"/>
              <w:keepNext/>
              <w:jc w:val="left"/>
            </w:pPr>
            <w:r>
              <w:rPr>
                <w:sz w:val="20"/>
              </w:rPr>
              <w:t>ESP32-C5: 20–30 Мбит/с [20]</w:t>
            </w:r>
          </w:p>
        </w:tc>
        <w:tc>
          <w:tcPr>
            <w:tcW w:type="dxa" w:w="1984"/>
            <w:vAlign w:val="center"/>
          </w:tcPr>
          <w:p>
            <w:pPr>
              <w:pStyle w:val="TableText"/>
              <w:keepNext/>
              <w:jc w:val="left"/>
            </w:pPr>
            <w:r>
              <w:rPr>
                <w:sz w:val="20"/>
              </w:rPr>
              <w:t>0,29–5,5 кбит/с [3]</w:t>
            </w:r>
          </w:p>
        </w:tc>
      </w:tr>
      <w:tr>
        <w:trPr>
          <w:cantSplit/>
        </w:trPr>
        <w:tc>
          <w:tcPr>
            <w:tcW w:type="dxa" w:w="1701"/>
            <w:vAlign w:val="center"/>
          </w:tcPr>
          <w:p>
            <w:pPr>
              <w:pStyle w:val="TableText"/>
              <w:keepNext/>
              <w:jc w:val="left"/>
            </w:pPr>
            <w:r>
              <w:rPr>
                <w:sz w:val="20"/>
              </w:rPr>
              <w:t>Энергопотребление</w:t>
            </w:r>
          </w:p>
        </w:tc>
        <w:tc>
          <w:tcPr>
            <w:tcW w:type="dxa" w:w="2268"/>
            <w:vAlign w:val="center"/>
          </w:tcPr>
          <w:p>
            <w:pPr>
              <w:pStyle w:val="TableText"/>
              <w:keepNext/>
              <w:jc w:val="left"/>
            </w:pPr>
            <w:r>
              <w:rPr>
                <w:sz w:val="20"/>
              </w:rPr>
              <w:t>передача 300 мА, приём 55–100 мА [17]</w:t>
            </w:r>
          </w:p>
        </w:tc>
        <w:tc>
          <w:tcPr>
            <w:tcW w:type="dxa" w:w="1928"/>
            <w:vAlign w:val="center"/>
          </w:tcPr>
          <w:p>
            <w:pPr>
              <w:pStyle w:val="TableText"/>
              <w:keepNext/>
              <w:jc w:val="left"/>
            </w:pPr>
            <w:r>
              <w:rPr>
                <w:sz w:val="20"/>
              </w:rPr>
              <w:t>передача 283–340 мА, приём 88–91 мА [21]</w:t>
            </w:r>
          </w:p>
        </w:tc>
        <w:tc>
          <w:tcPr>
            <w:tcW w:type="dxa" w:w="1474"/>
            <w:vAlign w:val="center"/>
          </w:tcPr>
          <w:p>
            <w:pPr>
              <w:pStyle w:val="TableText"/>
              <w:keepNext/>
              <w:jc w:val="left"/>
            </w:pPr>
            <w:r>
              <w:rPr>
                <w:sz w:val="20"/>
              </w:rPr>
              <w:t>—</w:t>
            </w:r>
          </w:p>
        </w:tc>
        <w:tc>
          <w:tcPr>
            <w:tcW w:type="dxa" w:w="1984"/>
            <w:vAlign w:val="center"/>
          </w:tcPr>
          <w:p>
            <w:pPr>
              <w:pStyle w:val="TableText"/>
              <w:keepNext/>
              <w:jc w:val="left"/>
            </w:pPr>
            <w:r>
              <w:rPr>
                <w:sz w:val="20"/>
              </w:rPr>
              <w:t>66–396 мВт [22]</w:t>
            </w:r>
          </w:p>
        </w:tc>
      </w:tr>
      <w:tr>
        <w:trPr>
          <w:cantSplit/>
        </w:trPr>
        <w:tc>
          <w:tcPr>
            <w:tcW w:type="dxa" w:w="1701"/>
            <w:vAlign w:val="center"/>
          </w:tcPr>
          <w:p>
            <w:pPr>
              <w:pStyle w:val="TableText"/>
              <w:jc w:val="left"/>
            </w:pPr>
            <w:r>
              <w:rPr>
                <w:sz w:val="20"/>
              </w:rPr>
              <w:t>Проникающая способность (бетон)</w:t>
            </w:r>
          </w:p>
        </w:tc>
        <w:tc>
          <w:tcPr>
            <w:tcW w:type="dxa" w:w="2268"/>
            <w:vAlign w:val="center"/>
          </w:tcPr>
          <w:p>
            <w:pPr>
              <w:pStyle w:val="TableText"/>
              <w:jc w:val="left"/>
            </w:pPr>
            <w:r>
              <w:rPr>
                <w:sz w:val="20"/>
              </w:rPr>
              <w:t>8,5 дБ [18]</w:t>
            </w:r>
          </w:p>
        </w:tc>
        <w:tc>
          <w:tcPr>
            <w:tcW w:type="dxa" w:w="1928"/>
            <w:vAlign w:val="center"/>
          </w:tcPr>
          <w:p>
            <w:pPr>
              <w:pStyle w:val="TableText"/>
              <w:jc w:val="left"/>
            </w:pPr>
            <w:r>
              <w:rPr>
                <w:sz w:val="20"/>
              </w:rPr>
              <w:t>14,8 дБ [18]</w:t>
            </w:r>
          </w:p>
        </w:tc>
        <w:tc>
          <w:tcPr>
            <w:tcW w:type="dxa" w:w="1474"/>
            <w:vAlign w:val="center"/>
          </w:tcPr>
          <w:p>
            <w:pPr>
              <w:pStyle w:val="TableText"/>
              <w:jc w:val="left"/>
            </w:pPr>
            <w:r>
              <w:rPr>
                <w:sz w:val="20"/>
              </w:rPr>
              <w:t>27,0 дБ [18]</w:t>
            </w:r>
          </w:p>
        </w:tc>
        <w:tc>
          <w:tcPr>
            <w:tcW w:type="dxa" w:w="1984"/>
            <w:vAlign w:val="center"/>
          </w:tcPr>
          <w:p>
            <w:pPr>
              <w:pStyle w:val="TableText"/>
              <w:jc w:val="left"/>
            </w:pPr>
            <w:r>
              <w:rPr>
                <w:sz w:val="20"/>
              </w:rPr>
              <w:t>8,5 дБ (864–868 МГц)</w:t>
            </w:r>
          </w:p>
        </w:tc>
      </w:tr>
    </w:tbl>
    <w:p>
      <w:pPr>
        <w:spacing w:line="240" w:lineRule="auto"/>
      </w:pPr>
    </w:p>
    <w:p>
      <w:r>
        <w:t>Итог сравнения: Wi-Fi HaLow занимает промежуточное положение — на порядок медленнее Wi-Fi 2,4 ГГц и на два–три порядка быстрее LoRa. При нормах мощности Российской Федерации на одной паре плат он удерживает связь на трассе прямой видимости в 1,8 раза дальше, чем Wi-Fi 2,4 ГГц (измерение); по расчёту его преимущество сохраняется на малых скоростях и за препятствиями.</w:t>
      </w:r>
    </w:p>
    <w:p>
      <w:pPr>
        <w:pStyle w:val="Heading2"/>
      </w:pPr>
      <w:r>
        <w:t>3.8 Выводы</w:t>
      </w:r>
    </w:p>
    <w:p>
      <w:r>
        <w:t>1. На лабораторном этапе потери определяла полоса приёма: её сужение с 8 до 4 МГц снизило потери в 4,4 раза — шум в полосе уменьшается на 10 lg(8/4) = 3,0 дБ, и в узкую полосу попадает меньше помех других устройств диапазона. Рабочий канал — 2 МГц с центром 867 МГц в полосе 866–868 МГц, мощность не более 14 дБм — предел нормы ГКРЧ (25 мВт ЭИМ).</w:t>
      </w:r>
    </w:p>
    <w:p>
      <w:r>
        <w:t>2. Пропускная способность поднята со 121 кбит/с до 1063 кбит/с полезного видео 480 × 320 при 5 видеокадрах в секунду на трассе 5 м через стену (вне прямой видимости). На лабораторном этапе её ограничивали драйвер UART модуля, паузы между фрагментами и программное сжатие; после их доработки ограничивающим звеном стал радиоканал между платами: около трети первых передач не доходит даже при сильном сигнале, и эфир занят повторами на 99 %. Уровень сигнала, модуляция и длина кадра на эту долю не влияют; точную причину нельзя установить без доступа к программе MAC-уровня модуля, которая поставляется только в машинном коде. Интерфейс UART задаёт архитектурный предел 3,92 Мбит/с, до которого канал не доходит; это ниже 6,5 Мбит/с, на которые способен физический уровень канала 2 МГц.</w:t>
      </w:r>
    </w:p>
    <w:p>
      <w:r>
        <w:t>3. Доработки канала проверены поочерёдным включением и выключением в одном опыте: гибрид помехоустойчивого кодирования и досылки снизил потери видеокадров с 10–12 до 2–3 %, инерция управления качеством вдвое снизила задержку, граница MCS по отношению сигнал/шум повысила скорость в 1,5–2 раза и снизила потери видеокадров в 1,7–5 раз без сокращения дальности.</w:t>
      </w:r>
    </w:p>
    <w:p>
      <w:r>
        <w:t>4. Установлена причина искажения изображения — наводка собственного передатчика на шлейф камеры (0 % повреждённых видеокадров при 1 дБм против 44 % при 20 дБм на лабораторном этапе, 40–60 % уже при 10 дБм на разрешении 320 × 240). Регулятор, который по отношению сигнал/шум держит мощность минимальной, и съёмка в паузах передачи при повышенной мощности устраняют искажения без изменения аппаратной части.</w:t>
      </w:r>
    </w:p>
    <w:p>
      <w:r>
        <w:t>5. По критериям задания на трассе 5 м через стену: уровень сигнала −53 дБм при отношении сигнал/шум 36 дБ, задержка по квитанции в медиане 0,34–0,50 с, потери видеокадров 1,4 %. Доля неудачных попыток передачи модуля (PER) при этом 50–67 %: в неё входят все повторы и попытки без подтверждения, а не потерянные данные (подраздел 3.4).</w:t>
      </w:r>
    </w:p>
    <w:p>
      <w:r>
        <w:t>6. Измерение на трассе прямой видимости при 14 дБм: видео Wi-Fi HaLow с потерями до 9 % передаётся до ≈ 310 м, прекращается на ≈ 1,10 км, связь сохраняется до ≈ 1,55 км. Это в пределах расчётного диапазона 0,98–4,90 км (свободное пространство, запас 10 дБ), а без запаса на замирания граница по расчёту в 10 раз дальше измеренной — из-за фона платы и помех в эфире (таблица 3.11). Паспортные 1200 м при +20 дБм относятся к скорости более 2 Мбит/с и с измеренной границей связи на самой медленной модуляции напрямую не сравниваются; данные производителя об уровне сигнала на 300 и 600 м отличаются от расчёта по формуле Фрииса не более чем на 2 дБ. У наземных антенн дальность по расчёту сокращается в несколько раз, антенна на борту на высоте 50 м её возвращает.</w:t>
      </w:r>
    </w:p>
    <w:p>
      <w:r>
        <w:t>7. На идентичной платформе при нормах мощности Российской Федерации по расчёту при одной и той же скорости 6,5 Мбит/с — наибольшей для канала 2 МГц Wi-Fi HaLow — дальности сопоставимы, а преимущество Wi-Fi HaLow — малые скорости с большей дальностью и меньшее затухание в препятствиях: на 6,3 дБ в бетонной стене и на 6,5–14,8 дБ на 100–400 м леса. Измерение на той же паре плат на трассе 5 м через стену: ёмкость Wi-Fi 2,4 ГГц 15,7–19,2 Мбит/с против около 1 Мбит/с у Wi-Fi HaLow, видео передаётся сопоставимо (потери видеокадров 2,1–2,2 и 1,4 %), но запас по сигналу у Wi-Fi HaLow при мощности 1 дБм (24–40 дБ) больше, чем у Wi-Fi 2,4 ГГц при 14–20 дБм (15–24 дБ). Измерение границы связи на тех же положениях приёмника подтвердило это: на трассе прямой видимости видео Wi-Fi 2,4 ГГц прекращается на ≈ 0,62 км против ≈ 1,10 км у Wi-Fi HaLow, связь — на ≈ 0,87 против ≈ 1,55 км, то есть Wi-Fi HaLow удерживает связь в 1,8 раза дальше при мощности на 6 дБ ниже. LoRa превосходит по дальности, но её скорость на два–три порядка ниже видео.</w:t>
      </w:r>
    </w:p>
    <w:p>
      <w:pPr>
        <w:sectPr>
          <w:footerReference w:type="default" r:id="rId9"/>
          <w:headerReference w:type="default" r:id="rId19"/>
          <w:headerReference w:type="first" r:id="rId20"/>
          <w:footerReference w:type="first" r:id="rId21"/>
          <w:pgSz w:w="11906" w:h="16838"/>
          <w:pgMar w:top="1134" w:right="850" w:bottom="1417" w:left="1701" w:header="283" w:footer="283" w:gutter="0"/>
          <w:cols w:space="720"/>
          <w:titlePg/>
          <w:docGrid w:linePitch="360"/>
          <w:pgNumType w:start="3"/>
        </w:sectPr>
      </w:pPr>
    </w:p>
    <w:p>
      <w:pPr>
        <w:pStyle w:val="Heading1"/>
        <w:ind w:firstLine="0"/>
        <w:jc w:val="center"/>
      </w:pPr>
      <w:r>
        <w:t>Заключение</w:t>
      </w:r>
    </w:p>
    <w:p>
      <w:r>
        <w:t>Целью работы являлось исследование эффективности использования технологии Wi-Fi HaLow на базе платформы LilyGO T-HaLow по сравнению с традиционными протоколами Wi-Fi по критериям дальности, уровня сигнала, задержки и потерь пакетов. В ходе работы получены следующие результаты.</w:t>
      </w:r>
    </w:p>
    <w:p>
      <w:r>
        <w:t>1. Выполнен сравнительный анализ каналов связи с БПЛА: LoRa даёт дальность без скорости, Wi-Fi 2,4/5 ГГц — скорость без дальности. Wi-Fi HaLow сочетает оба свойства: по расчёту по паспортным данным для свободного пространства на наименьшей скорости его запас по затуханию при нормах мощности Российской Федерации на 5,6 дБ больше, чем у Wi-Fi 2,4 ГГц, затухание в препятствиях меньше, а пропускной способности достаточно для видео пониженного разрешения. На наибольшей скорости канала 2 МГц (6,5 Мбит/с физического уровня) дальности по расчёту сопоставимы. Измерение на одной паре плат подтвердило расчёт для наименьших скоростей: граница связи, где обе технологии работают на самой медленной модуляции, у Wi-Fi HaLow в 1,8 раза дальше (по расчёту — в 1,9 раза; пункт 3).</w:t>
      </w:r>
    </w:p>
    <w:p>
      <w:r>
        <w:t>2. Выполнена теоретическая оценка характеристик канала и обоснована необходимость эксперимента; разработаны программа и методика испытаний; выбрана и настроена платформа LilyGO T-HaLow в разрешённой конфигурации — канал шириной 2 МГц с центральной частотой 867 МГц, мощность не более 14 дБм.</w:t>
      </w:r>
    </w:p>
    <w:p>
      <w:r>
        <w:t xml:space="preserve">3. Серия стендовых экспериментов установила, что после доработки программных ограничений платформы пропускную способность ограничивает радиоканал между платами — около трети первых передач теряется даже при сильном сигнале, а эфир почти полностью занят повторами; от уровня сигнала и модуляции эта доля не зависит, а точную причину скрывает закрытая программа MAC-уровня модуля. Интерфейс UART задаёт архитектурный предел 3,92 Мбит/с — ниже 6,5 Мбит/с физического уровня канала. Доработки программного обеспечения подняли полезную скорость со 121 до 1063 кбит/с (видео 480 × 320, 5 видеокадров в секунду, трасса 5 м через стену). На трассе 5 м через стену уровень сигнала составил −53 дБм, задержка по квитанции в медиане 0,34–0,50 с, потери видеокадров 1,4 %. Разработаны и проверены поочерёдным включением и выключением в одном опыте гибрид помехоустойчивого кодирования и досылки, инерция управления качеством и нижняя граница модуляции по отношению сигнал/шум; реализован и проверен регулятор мощности в пределах 1–14 дБм. Найдена причина искажения изображения — наводка собственного передатчика — и устранена программными средствами. </w:t>
      </w:r>
      <w:r>
        <w:t>Расчёт бюджета канала по паспорту радиомодуля дал границу связи 0,98–4,90 км в свободном пространстве при 14 дБм и согласуется с опубликованными натурными данными производителя. Измеренная граница связи данной пары плат при 14 дБм на трассе прямой видимости — около 1,55 км; видео с потерями до 9 % передаётся до 310 м и прекращается на 1,10 км. Сравнение показало, что при нормах мощности Российской Федерации Wi-Fi HaLow уступает Wi-Fi 2,4 ГГц в скорости на порядок, превосходит LoRa по скорости на два–три порядка и удерживает связь дальше Wi-Fi 2,4 ГГц: на той же паре плат — в 1,8 раза на трассе прямой видимости при мощности на 6 дБ ниже. На трассе 5 м через стену ёмкость Wi-Fi 2,4 ГГц составила 15,7–19,2 Мбит/с против около 1 Мбит/с у Wi-Fi HaLow.</w:t>
      </w:r>
    </w:p>
    <w:p>
      <w:r>
        <w:t>4. Выполнены технико-экономическое обоснование работы и анализ условий труда специалиста (главы 4 и 5).</w:t>
      </w:r>
    </w:p>
    <w:p>
      <w:pPr>
        <w:keepNext/>
      </w:pPr>
      <w:r>
        <w:rPr>
          <w:b/>
        </w:rPr>
        <w:t>Предложения по интеграции в существующие модели БПЛА.</w:t>
      </w:r>
      <w:r>
        <w:t xml:space="preserve"> По результатам работы сформулированы следующие предложения по увеличению дальности и надёжности передачи данных с борта БПЛА:</w:t>
      </w:r>
    </w:p>
    <w:p>
      <w:r>
        <w:t>1) соединять радиомодуль Wi-Fi HaLow с бортовым процессором по интерфейсу SPI или SDIO, а не UART: через UART полезная скорость не может превысить 3,92 Мбит/с, тогда как канал 2 МГц способен на 6,5 Мбит/с на физическом уровне. Процессор ESP32-S3 платы при этом сохраняет свою роль контроллера камеры — снимает, сжимает и защищает видео кодом, — а передаёт его в радиомодуль уже по SPI;</w:t>
      </w:r>
    </w:p>
    <w:p>
      <w:r>
        <w:t>2) размещать радиомодуль и его антенну вдали от камеры, памяти и их шин и экранировать шлейф камеры: помехи платы поднимали фон, который слышит модуль камеры, до −60 дБм, а излучение передатчика искажает захват изображения;</w:t>
      </w:r>
    </w:p>
    <w:p>
      <w:r>
        <w:t>3) в двухузловом канале «борт — наземный пункт» отключать обмен RTS/CTS, назначать бортовой узел точкой доступа и подтверждать каждый видеокадр квитанцией с ограничением числа неподтверждённых видеокадров — это ограничивает задержку и даёт её прямой замер;</w:t>
      </w:r>
    </w:p>
    <w:p>
      <w:r>
        <w:t>4) ограничивать модуляцию повторов снизу по отношению сигнал/шум, а не фиксировать её: постоянная граница ускоряет канал вблизи, но сокращает дальность;</w:t>
      </w:r>
    </w:p>
    <w:p>
      <w:r>
        <w:t>5) в регуляторе мощности передатчика снижать мощность медленно, а повышать сразу. При измерении границы связи уровень сигнала кратковременно вырос, и регулятор за 8 с снизил мощность с 14 до 4 дБм; когда уровень снова упал, мощности уже не хватило, и связь оборвалась раньше, чем регулятор успел поднять её обратно;</w:t>
      </w:r>
    </w:p>
    <w:p>
      <w:r>
        <w:t>6) защищать видеопоток двумя средствами — помехоустойчивым кодом, число контрольных фрагментов которого подбирается по последним квитанциям, и однократной досылкой того, что код не закрыл; управлять по задержке квитанций качеством сжатия, а когда оно исчерпано, — разрешением видеокадра, и делать это с инерцией, запоминая качество, при котором канал перегрузился;</w:t>
      </w:r>
    </w:p>
    <w:p>
      <w:r>
        <w:t>7) для БПЛА вертолётного типа выбирать рабочую высоту с учётом точки излома двухлучевой модели: при антенне на высоте 50 м она отодвигается с 26 до 868 м, что важнее повышения мощности;</w:t>
      </w:r>
    </w:p>
    <w:p>
      <w:r>
        <w:t>8) использовать канал шириной 1–2 МГц в полосе 866–868 МГц с мощностью не более 14 дБм, соответствующий требованиям к устройствам малого радиуса действия.</w:t>
      </w:r>
    </w:p>
    <w:p>
      <w:r>
        <w:t>Часть ограничений этими мерами не снимается, и при интеграции их нужно учитывать: на плате с интерфейсом UART полезная скорость не превысит 3,92 Мбит/с, а на данной паре модулей она держится около 1 Мбит/с из-за потерь передач на уровне MAC, программа которого закрыта; помехи собственной электроники на компактном борту полностью не устранить; с расстоянием качество изображения снижается вплоть до разрешения 240 × 160; у земли — при взлёте, посадке и полёте на малой высоте — дальность в разы меньше, чем на рабочей высоте; мощность выше 14 дБм не разрешена, а в пределах аэродромов диапазон 866–868 МГц применять нельзя.</w:t>
      </w:r>
    </w:p>
    <w:p>
      <w:pPr>
        <w:pStyle w:val="Heading1"/>
        <w:pageBreakBefore/>
        <w:ind w:firstLine="0"/>
        <w:jc w:val="center"/>
      </w:pPr>
      <w:r>
        <w:t>Список использованных источников</w:t>
      </w:r>
    </w:p>
    <w:p>
      <w:pPr>
        <w:ind w:firstLine="0"/>
        <w:jc w:val="left"/>
      </w:pPr>
      <w:r>
        <w:t>1. Кошкин, Р. П. Беспилотные авиационные системы / Р. П. Кошкин. – Москва : Стратегические приоритеты, 2016. – 676 с. – Текст : непосредственный.</w:t>
      </w:r>
    </w:p>
    <w:p>
      <w:pPr>
        <w:ind w:firstLine="0"/>
        <w:jc w:val="left"/>
      </w:pPr>
      <w:r>
        <w:t>2. Паспорт национального проекта «Беспилотные авиационные системы» (2024–2030 гг.). – Текст : электронный // КонсультантПлюс : [сайт]. – URL: https://www.consultant.ru/document/cons_doc_LAW_310251/ (дата обращения: 24.09.2026).</w:t>
      </w:r>
    </w:p>
    <w:p>
      <w:pPr>
        <w:ind w:firstLine="0"/>
        <w:jc w:val="left"/>
      </w:pPr>
      <w:r>
        <w:t>3. AN1200.22. LoRa Modulation Basics : application note, revision 2 / Semtech Corporation. – 2015. – Текст : электронный // GitHub : ExpressLRS/ExpressLRS-Hardware, Doc/an1200.22.pdf. – URL: https://github.com/ExpressLRS/ExpressLRS-Hardware/tree/master/Doc (дата обращения: 08.10.2026).</w:t>
      </w:r>
    </w:p>
    <w:p>
      <w:pPr>
        <w:ind w:firstLine="0"/>
        <w:jc w:val="left"/>
      </w:pPr>
      <w:r>
        <w:t>4. Robinson, S. SX12XX-LoRa : What is LoRa ; ReadMe / S. Robinson. – Текст : электронный // GitHub : [сайт]. – URL: https://github.com/StuartsProjects/SX12XX-LoRa (дата обращения: 08.10.2026).</w:t>
      </w:r>
    </w:p>
    <w:p>
      <w:pPr>
        <w:ind w:firstLine="0"/>
        <w:jc w:val="left"/>
      </w:pPr>
      <w:r>
        <w:t>5. Технологии современных беспроводных сетей Wi-Fi : учебное пособие / Е. В. Смирнова, А. В. Пролетарский, Е. А. Ромашкина [и др.] ; под общей редакцией А. В. Пролетарского. – Москва : Издательство МГТУ им. Н. Э. Баумана, 2017. – 448 с. – (Компьютерные системы и сети ; вып. 2). – ISBN 978-5-7038-4620-9. – Текст : непосредственный.</w:t>
      </w:r>
    </w:p>
    <w:p>
      <w:pPr>
        <w:ind w:firstLine="0"/>
        <w:jc w:val="left"/>
      </w:pPr>
      <w:r>
        <w:t>6. Rappaport, T. S. Wireless Communications : Principles and Practice / T. S. Rappaport. – 2nd ed. – Upper Saddle River : Prentice Hall PTR, 2002. – XXIII, 707 p. – ISBN 0-13-042232-0. – Текст : непосредственный.</w:t>
      </w:r>
    </w:p>
    <w:p>
      <w:pPr>
        <w:ind w:firstLine="0"/>
        <w:jc w:val="left"/>
      </w:pPr>
      <w:r>
        <w:t>7. IEEE Std 802.11ah-2016. IEEE Standard for Information technology — Telecommunications and information exchange between systems. Local and metropolitan area networks — Specific requirements. Part 11: Wireless LAN Medium Access Control (MAC) and Physical Layer (PHY) Specifications. Amendment 2: Sub 1 GHz License Exempt Operation. – New York : IEEE, 2017. – 594 p. – DOI 10.1109/IEEESTD.2017.7920364. – Текст : электронный // IEEE Xplore : [сайт]. – URL: https://ieeexplore.ieee.org/document/7920364 (дата обращения: 08.10.2026).</w:t>
      </w:r>
    </w:p>
    <w:p>
      <w:pPr>
        <w:ind w:firstLine="0"/>
        <w:jc w:val="left"/>
      </w:pPr>
      <w:r>
        <w:t>8. Wi-Fi HaLow. – Текст : электронный // Wi-Fi Alliance : [сайт]. – URL: https://www.wi-fi.org/discover-wi-fi/wi-fi-halow (дата обращения: 24.09.2026).</w:t>
      </w:r>
    </w:p>
    <w:p>
      <w:pPr>
        <w:ind w:firstLine="0"/>
        <w:jc w:val="left"/>
      </w:pPr>
      <w:r>
        <w:t>9. Wi-Fi HaLow for the Internet of Things : An up-to-date survey on IEEE 802.11ah research / L. Tian, S. Santi, A. Seferagić [et al.] // Journal of Network and Computer Applications. – 2021. – Vol. 182. – Art. 103036. – Текст : электронный.</w:t>
      </w:r>
    </w:p>
    <w:p>
      <w:pPr>
        <w:ind w:firstLine="0"/>
        <w:jc w:val="left"/>
      </w:pPr>
      <w:r>
        <w:t>10. A survey on IEEE 802.11ah : An enabling networking technology for smart cities / E. Khorov, A. Lyakhov, A. Krotov [et al.] // Computer Communications. – 2015. – Vol. 58. – P. 53–69. – Текст : электронный.</w:t>
      </w:r>
    </w:p>
    <w:p>
      <w:pPr>
        <w:ind w:firstLine="0"/>
        <w:jc w:val="left"/>
      </w:pPr>
      <w:r>
        <w:t>11. Chounos, K. Scalability and Performance Evaluation of IEEE 802.11ah IoT Deployments : A Testbed Approach / K. Chounos, K. Kyriakou, T. Korakis. – 2025. – arXiv:2508.03146. – Текст : электронный // arXiv.org : [сайт]. – URL: https://arxiv.org/abs/2508.03146 (дата обращения: 27.09.2026).</w:t>
      </w:r>
    </w:p>
    <w:p>
      <w:pPr>
        <w:ind w:firstLine="0"/>
        <w:jc w:val="left"/>
      </w:pPr>
      <w:r>
        <w:t>12. ExpressLRS : open source radio link for RC applications. – Текст : электронный // ExpressLRS : [сайт]. – URL: https://www.expresslrs.org (дата обращения: 27.09.2026).</w:t>
      </w:r>
    </w:p>
    <w:p>
      <w:pPr>
        <w:ind w:firstLine="0"/>
        <w:jc w:val="left"/>
      </w:pPr>
      <w:r>
        <w:t>13. Правительство закрепило решение о распределении радиочастот для создания единой инфраструктуры управления гражданскими беспилотниками. – Текст : электронный // Правительство России : [сайт]. – URL: http://government.ru/docs/49544/ (дата обращения: 27.09.2026).</w:t>
      </w:r>
    </w:p>
    <w:p>
      <w:pPr>
        <w:ind w:firstLine="0"/>
        <w:jc w:val="left"/>
      </w:pPr>
      <w:r>
        <w:t>14. Friis, H. T. A Note on a Simple Transmission Formula / H. T. Friis // Proceedings of the IRE. – 1946. – Vol. 34, no. 5. – P. 254–256. – Текст : электронный.</w:t>
      </w:r>
    </w:p>
    <w:p>
      <w:pPr>
        <w:ind w:firstLine="0"/>
        <w:jc w:val="left"/>
      </w:pPr>
      <w:r>
        <w:t>15. О выделении полос радиочастот устройствам малого радиуса действия : решение ГКРЧ при Мининформсвязи России от 07.05.2007 № 07-20-03-001 (ред. от 24.12.2018). – Текст : электронный // ГАРАНТ.РУ : информационно-правовой портал. – URL: https://base.garant.ru/192210/ (дата обращения: 08.10.2026).</w:t>
      </w:r>
    </w:p>
    <w:p>
      <w:pPr>
        <w:ind w:firstLine="0"/>
        <w:jc w:val="left"/>
      </w:pPr>
      <w:r>
        <w:t>16. IEEE 802.11AH : the WiFi approach for M2M communications / T. Adame, A. Bel, B. Bellalta [et al.] // IEEE Wireless Communications. – 2014. – Vol. 21, no. 6. – P. 144–152. – DOI 10.1109/MWC.2014.7000982. – Текст : электронный.</w:t>
      </w:r>
    </w:p>
    <w:p>
      <w:pPr>
        <w:ind w:firstLine="0"/>
        <w:jc w:val="left"/>
      </w:pPr>
      <w:r>
        <w:t>17. 泰芯 802.11ah TX-AH-Rx00P 系列模组技术规格书 [Технические характеристики модулей серии TX-AH-Rx00P] : версия V6.2 от 16.11.2023 / Zhuhai Taixin Semiconductor Co., Ltd. – Текст : электронный // GitHub : репозиторий Xinyuan-LilyGO/T-Halow. – URL: https://github.com/Xinyuan-LilyGO/T-Halow/tree/master/hardware/TX_AH (дата обращения: 08.10.2026).</w:t>
      </w:r>
    </w:p>
    <w:p>
      <w:pPr>
        <w:ind w:firstLine="0"/>
        <w:jc w:val="left"/>
      </w:pPr>
      <w:r>
        <w:t>18. Sionna : src/sionna/phy/channel/tr38901/lsp.py (модель потерь проникновения 3GPP TR 38.901, п. 7.4.3.1) / NVIDIA (NVlabs). – Текст : электронный // GitHub : [сайт]. – URL: https://github.com/NVlabs/sionna (дата обращения: 08.10.2026).</w:t>
      </w:r>
    </w:p>
    <w:p>
      <w:pPr>
        <w:ind w:firstLine="0"/>
        <w:jc w:val="left"/>
      </w:pPr>
      <w:r>
        <w:t>19. Linux kernel source tree : net/wireless/util.c, функция cfg80211_calculate_bitrate_s1g / L. Torvalds [и др.]. – Текст : электронный // GitHub : [сайт]. – URL: https://github.com/torvalds/linux/blob/master/net/wireless/util.c (дата обращения: 08.10.2026).</w:t>
      </w:r>
    </w:p>
    <w:p>
      <w:pPr>
        <w:ind w:firstLine="0"/>
        <w:jc w:val="left"/>
      </w:pPr>
      <w:r>
        <w:t>20. ESP-IDF Programming Guide v5.5.5. Wi-Fi Driver : разделы «ESP32-S3 Wi-Fi Throughput», «Long Range (LR)» / Espressif Systems. – Текст : электронный // GitHub : espressif/esp-idf, docs/en/api-guides/wifi.rst. – URL: https://github.com/espressif/esp-idf/blob/v5.5.5/docs/en/api-guides/wifi.rst (дата обращения: 08.10.2026).</w:t>
      </w:r>
    </w:p>
    <w:p>
      <w:pPr>
        <w:ind w:firstLine="0"/>
        <w:jc w:val="left"/>
      </w:pPr>
      <w:r>
        <w:t>21. ESP32-S3 Series Datasheet : version 1.1 / Espressif Systems. – 2022. – Текст : электронный // GitHub : копия в репозитории Xinyuan-LilyGO/T-Display-S3-AMOLED (doc/esp32-s3_datasheet_en.pdf). – URL: https://github.com/Xinyuan-LilyGO/T-Display-S3-AMOLED/blob/main/doc/esp32-s3_datasheet_en.pdf (дата обращения: 08.10.2026).</w:t>
      </w:r>
    </w:p>
    <w:p>
      <w:pPr>
        <w:ind w:firstLine="0"/>
        <w:jc w:val="left"/>
      </w:pPr>
      <w:r>
        <w:t>22. Cattani, M. An Experimental Evaluation of the Reliability of LoRa Long-Range Low-Power Wireless Communication / M. Cattani, C. A. Boano, K. Römer // Journal of Sensor and Actuator Networks. – 2017. – Vol. 6, no. 2. – Art. 7. – DOI 10.3390/jsan6020007. – Текст : электронный.</w:t>
      </w:r>
    </w:p>
    <w:p>
      <w:pPr>
        <w:ind w:firstLine="0"/>
        <w:jc w:val="left"/>
      </w:pPr>
      <w:r>
        <w:t>23. О выделении полос радиочастот, внесении изменений в решения ГКРЧ и продлении срока действия решений ГКРЧ : решение ГКРЧ при Минкомсвязи России от 11.09.2018 № 18-46-03-1. – Текст : электронный // ГАРАНТ.РУ : информационно-правовой портал. – URL: https://base.garant.ru/72061772/ (дата обращения: 08.10.2026).</w:t>
      </w:r>
    </w:p>
    <w:p>
      <w:pPr>
        <w:ind w:firstLine="0"/>
        <w:jc w:val="left"/>
      </w:pPr>
      <w:r>
        <w:t>24. 3GPP TR 38.901 V17.0.0 (2022-03). Study on channel model for frequencies from 0.5 to 100 GHz (Release 17) : technical report / 3rd Generation Partnership Project. – Valbonne : ETSI, 2022. – 106 p. – Текст : электронный // 3GPP : [сайт]. – URL: https://www.3gpp.org/ftp/Specs/archive/38_series/38.901/ (дата обращения: 22.10.2026).</w:t>
      </w:r>
    </w:p>
    <w:p>
      <w:pPr>
        <w:ind w:firstLine="0"/>
        <w:jc w:val="left"/>
      </w:pPr>
      <w:r>
        <w:t>25. Об утверждении Федеральных правил использования воздушного пространства Российской Федерации : постановление Правительства Российской Федерации от 11.03.2010 № 138 (в ред. постановления от 03.02.2020 № 74). – Текст : электронный // ГАРАНТ.РУ : информационно-правовой портал. – URL: https://base.garant.ru/197839/ (дата обращения: 22.10.2026).</w:t>
      </w:r>
    </w:p>
    <w:p>
      <w:pPr>
        <w:ind w:firstLine="0"/>
        <w:jc w:val="left"/>
      </w:pPr>
      <w:r>
        <w:t>26. Shannon, C. E. A Mathematical Theory of Communication / C. E. Shannon // Bell System Technical Journal. – 1948. – Vol. 27, no. 3. – P. 379–423. – Текст : электронный.</w:t>
      </w:r>
    </w:p>
    <w:p>
      <w:pPr>
        <w:ind w:firstLine="0"/>
        <w:jc w:val="left"/>
      </w:pPr>
      <w:r>
        <w:t>27. Aust, S. Sub 1GHz wireless LAN propagation path loss models for urban smart grid applications / S. Aust, T. Ito // 2012 International Conference on Computing, Networking and Communications (ICNC). – Maui : IEEE, 2012. – P. 116–120. – DOI 10.1109/ICCNC.2012.6167392. – Текст : электронный.</w:t>
      </w:r>
    </w:p>
    <w:p>
      <w:pPr>
        <w:ind w:firstLine="0"/>
        <w:jc w:val="left"/>
      </w:pPr>
      <w:r>
        <w:t>28. 泰芯 AH 网桥使用说明 [Руководство по использованию моста AH] : версия V1.3.4 от 07.09.2023 / Zhuhai Taixin Semiconductor Co., Ltd. – Текст : электронный // GitHub : репозиторий Xinyuan-LilyGO/T-Halow. – URL: https://github.com/Xinyuan-LilyGO/T-Halow/tree/master/hardware/TX_AH (дата обращения: 08.10.2026).</w:t>
      </w:r>
    </w:p>
    <w:p>
      <w:pPr>
        <w:ind w:firstLine="0"/>
        <w:jc w:val="left"/>
      </w:pPr>
      <w:r>
        <w:t>29. 泰芯 802.11AH 频点设置说明 [Описание настройки частот 802.11ah] : версия V2.0 от 30.11.2023 / Zhuhai Taixin Semiconductor Co., Ltd. – Текст : электронный // GitHub : репозиторий Xinyuan-LilyGO/T-Halow. – URL: https://github.com/Xinyuan-LilyGO/T-Halow/tree/master/hardware/TX_AH (дата обращения: 15.10.2026).</w:t>
      </w:r>
    </w:p>
    <w:p>
      <w:pPr>
        <w:ind w:firstLine="0"/>
        <w:jc w:val="left"/>
      </w:pPr>
      <w:r>
        <w:t>30. LILYGO T-Halow ESP32-S3 Development Board, Wi-Fi HaLow. – Текст : электронный // AliExpress : [сайт]. – URL: https://www.aliexpress.com/item/1005007402959136.html (дата обращения: 24.09.2026).</w:t>
      </w:r>
    </w:p>
    <w:p>
      <w:pPr>
        <w:ind w:firstLine="0"/>
        <w:jc w:val="left"/>
      </w:pPr>
      <w:r>
        <w:t>31. ESP32 Wi-Fi HaLow Camera HT-HC32. – Текст : электронный // Heltec Automation : [сайт]. – URL: https://wiki.heltec.org/docs/devices/wifi-halow/ht-hc32/ (дата обращения: 13.10.2026).</w:t>
      </w:r>
    </w:p>
    <w:p>
      <w:pPr>
        <w:ind w:firstLine="0"/>
        <w:jc w:val="left"/>
      </w:pPr>
      <w:r>
        <w:t>32. ESP32 Wi-Fi HaLow Camera. – Текст : электронный // Heltec Automation : [сайт]. – URL: https://heltec.org/project/ht-hc32/ (дата обращения: 13.10.2026).</w:t>
      </w:r>
    </w:p>
    <w:p>
      <w:pPr>
        <w:ind w:firstLine="0"/>
        <w:jc w:val="left"/>
      </w:pPr>
      <w:r>
        <w:t>33. Heltec Automation partners with Morse Micro to advance IoT connectivity with Wi-Fi HaLow. – 12.06.2025. – Текст : электронный // Morse Micro : [сайт]. – URL: https://morsemicro.com/news/heltec-automation-partners-with-morse-micro-to-advance-iot-connectivity-with-wi-fi-halow (дата обращения: 13.10.2026).</w:t>
      </w:r>
    </w:p>
    <w:p>
      <w:pPr>
        <w:ind w:firstLine="0"/>
        <w:jc w:val="left"/>
      </w:pPr>
      <w:r>
        <w:t>34. ALFA Network AHPI7292S IEEE 802.11ah sub 1 GHz module in Raspberry Pi HAT form factor. – Текст : электронный // Rokland : [сайт]. – URL: https://store.rokland.com/products/alfa-network-ahpi7292s-ieee-802-11ah-sub-1-ghz-module-in-raspberry-pi-hat-form-factor (дата обращения: 24.09.2026).</w:t>
      </w:r>
    </w:p>
    <w:p>
      <w:pPr>
        <w:ind w:firstLine="0"/>
        <w:jc w:val="left"/>
      </w:pPr>
      <w:r>
        <w:t>35. NRC7394 Evaluation Kit Purchase page. – Текст : электронный // NEWRACOM : [сайт]. – URL: https://newracom.com/nrc7394-evaluation-kit-purchase-page (дата обращения: 24.09.2026).</w:t>
      </w:r>
    </w:p>
    <w:p>
      <w:pPr>
        <w:ind w:firstLine="0"/>
        <w:jc w:val="left"/>
      </w:pPr>
      <w:r>
        <w:t>36. NRC7292 EVK. – Текст : электронный // NEWRACOM : [сайт]. – URL: https://newracom.com/products/nrc7292-evk (дата обращения: 24.09.2026).</w:t>
      </w:r>
    </w:p>
    <w:p>
      <w:pPr>
        <w:ind w:firstLine="0"/>
        <w:jc w:val="left"/>
      </w:pPr>
      <w:r>
        <w:t>37. MM6108-EKH05-05US, WiFi Development Tools — 802.11 Wi-Fi HaLow IoT Development Board. – Текст : электронный // ЧИП и ДИП : [сайт]. – URL: https://chipdip.ru/product0/8040419288 (дата обращения: 24.09.2026).</w:t>
      </w:r>
    </w:p>
    <w:p>
      <w:pPr>
        <w:ind w:firstLine="0"/>
        <w:jc w:val="left"/>
      </w:pPr>
      <w:r>
        <w:t>38. T-Halow : исходные тексты, схема платы, комплект разработки модуля TX-AH / LilyGO (Xinyuan-LilyGO). – Текст : электронный // GitHub : [сайт]. – URL: https://github.com/Xinyuan-LilyGO/T-Halow (дата обращения: 27.09.2026).</w:t>
      </w:r>
    </w:p>
    <w:p>
      <w:pPr>
        <w:ind w:firstLine="0"/>
        <w:jc w:val="left"/>
      </w:pPr>
      <w:r>
        <w:t>39. ESP-IDF : Espressif IoT Development Framework : ветка 4.4, файл components/soc/esp32s3/include/soc/soc_caps.h / Espressif Systems. – Текст : электронный // GitHub : [сайт]. – URL: https://github.com/espressif/esp-idf (дата обращения: 27.09.2026).</w:t>
      </w:r>
    </w:p>
    <w:p>
      <w:pPr>
        <w:ind w:firstLine="0"/>
        <w:jc w:val="left"/>
      </w:pPr>
      <w:r>
        <w:t>40. ESP32-CAM Performance Reference Benchmark : dataset / TNeutron. – 2025. – Текст : электронный // GitHub : [сайт]. – URL: https://github.com/TNeutron/ESP32-CAM-Performence-Reference-Benchmark (дата обращения: 08.10.2026).</w:t>
      </w:r>
    </w:p>
    <w:p>
      <w:pPr>
        <w:ind w:firstLine="0"/>
        <w:jc w:val="left"/>
      </w:pPr>
      <w:r>
        <w:t>41. Radio Settings ; LoRa Region by Country / Meshtastic. – Текст : электронный // GitHub : meshtastic/meshtastic. – URL: https://github.com/meshtastic/meshtastic/blob/master/docs/about/overview/radio-settings.mdx (дата обращения: 08.10.2026).</w:t>
      </w:r>
    </w:p>
    <w:p>
      <w:pPr>
        <w:ind w:firstLine="0"/>
        <w:jc w:val="left"/>
      </w:pPr>
      <w:r>
        <w:t>42. Long Range / ExpressLRS. – Текст : электронный // GitHub : ExpressLRS/Docs. – URL: https://github.com/ExpressLRS/Docs/blob/master/docs/info/long-range.md (дата обращения: 08.10.2026).</w:t>
      </w:r>
    </w:p>
    <w:p>
      <w:pPr>
        <w:ind w:firstLine="0"/>
        <w:jc w:val="left"/>
      </w:pPr>
      <w:r>
        <w:t>43. Signal Health / ExpressLRS. – Текст : электронный // GitHub : ExpressLRS/Docs. – URL: https://github.com/ExpressLRS/Docs/blob/master/docs/info/signal-health.md (дата обращения: 08.10.2026).</w:t>
      </w:r>
    </w:p>
    <w:p>
      <w:pPr>
        <w:ind w:firstLine="0"/>
        <w:jc w:val="left"/>
      </w:pPr>
      <w:r>
        <w:t>44. Weissberger, M. A. An initial critical summary of models for predicting the attenuation of radio waves by trees / M. A. Weissberger. – Annapolis : Electromagnetic Compatibility Analysis Center, 1982. – (ESD-TR-81-101). – Текст : непосредственный.</w:t>
      </w:r>
    </w:p>
    <w:p>
      <w:pPr>
        <w:ind w:firstLine="0"/>
        <w:jc w:val="left"/>
      </w:pPr>
      <w:r>
        <w:t>45. Экономическое обоснование дипломных проектов (работ) по приборо- и радиоприборостроению : методические указания / В. П. Панагушин, Т. С. Ковалева, О. А. Малютина [и др.] ; под редакцией В. П. Панагушина. – 7-е изд., испр. и доп. – Москва : ИВАКО Аналитик, 2024. – 43 с. – Текст : непосредственный.</w:t>
      </w:r>
    </w:p>
    <w:p>
      <w:pPr>
        <w:ind w:firstLine="0"/>
        <w:jc w:val="left"/>
      </w:pPr>
      <w:r>
        <w:t>46. Поиск вакансий «радиоинженер», «инженер радиотехник», «радиотехник» в г. Москве с указанием заработной платы. – Текст : электронный // hh.ru : [сайт]. – URL: https://hh.ru/search/vacancy?text=радиоинженер&amp;area=1&amp;only_with_salary=true (дата обращения: 24.09.2026).</w:t>
      </w:r>
    </w:p>
    <w:p>
      <w:pPr>
        <w:ind w:firstLine="0"/>
        <w:jc w:val="left"/>
      </w:pPr>
      <w:r>
        <w:t>47. Производственный календарь на 2026 год. – Текст : электронный // КонсультантПлюс : [сайт]. – URL: https://www.consultant.ru/law/ref/calendar/proizvodstvennye/2026/ (дата обращения: 24.09.2026).</w:t>
      </w:r>
    </w:p>
    <w:p>
      <w:pPr>
        <w:ind w:firstLine="0"/>
        <w:jc w:val="left"/>
      </w:pPr>
      <w:r>
        <w:t>48. Налоговый кодекс Российской Федерации. Часть вторая : федеральный закон от 05.08.2000 № 117-ФЗ : принят Государственной думой 19 июля 2000 года : одобрен Советом Федерации 26 июля 2000 года. Глава 23 «Налог на доходы физических лиц». Глава 34 «Страховые взносы». – Текст : электронный // КонсультантПлюс : надежная правовая поддержка : [сайт]. – URL: https://www.consultant.ru/document/cons_doc_LAW_28165/ (дата обращения: 08.10.2026).</w:t>
      </w:r>
    </w:p>
    <w:p>
      <w:pPr>
        <w:ind w:firstLine="0"/>
        <w:jc w:val="left"/>
      </w:pPr>
      <w:r>
        <w:t>49. Официальные курсы валют на заданную дату, устанавливаемые ежедневно. – Текст : электронный // Банк России : [сайт]. – URL: https://www.cbr.ru/currency_base/daily/ (дата обращения: 24.09.2026).</w:t>
      </w:r>
    </w:p>
    <w:p>
      <w:pPr>
        <w:ind w:firstLine="0"/>
        <w:jc w:val="left"/>
      </w:pPr>
      <w:r>
        <w:t>50. Андрей Рюмин рассказал о достижениях «Россетей» на выставке-форуме «Россия». – 27.01.2024. – Текст : электронный // Деловой Петербург : [сайт]. – URL: https://www.dp.ru/a/2024/01/27/andrej-rjumin-rasskazal-o-dostizhenijah (дата обращения: 13.10.2026).</w:t>
      </w:r>
    </w:p>
    <w:p>
      <w:pPr>
        <w:ind w:firstLine="0"/>
        <w:jc w:val="left"/>
      </w:pPr>
      <w:r>
        <w:t>51. СП 2.2.3670-20. Санитарно-эпидемиологические требования к условиям труда : санитарные правила : утверждены постановлением Главного государственного санитарного врача Российской Федерации от 02.12.2020 № 40 : дата введения 2021-01-01. – Текст : электронный // Электронный фонд правовых и нормативно-технических документов : [сайт]. – URL: https://docs.cntd.ru/document/573230583 (дата обращения: 08.10.2026).</w:t>
      </w:r>
    </w:p>
    <w:p>
      <w:pPr>
        <w:ind w:firstLine="0"/>
        <w:jc w:val="left"/>
      </w:pPr>
      <w:r>
        <w:t>52. ГОСТ 12.2.007.0-75. Система стандартов безопасности труда. Изделия электротехнические. Общие требования безопасности : государственный стандарт Союза ССР : утвержден постановлением Государственного комитета стандартов Совета Министров СССР от 10.09.1975 № 2368 : дата введения 1978-01-01. – Текст : электронный // МЕГАНОРМ : [сайт]. – URL: https://meganorm.ru/Data1/6/6884/index.htm (дата обращения: 23.10.2026).</w:t>
      </w:r>
    </w:p>
    <w:p>
      <w:pPr>
        <w:ind w:firstLine="0"/>
        <w:jc w:val="left"/>
      </w:pPr>
      <w:r>
        <w:t>53. 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 : приказ Минтруда России от 21.11.2023 № 817н : зарегистрирован в Минюсте России 30.11.2023 № 76179. – Текст : электронный // Официальный интернет-портал правовой информации : [сайт]. – URL: http://publication.pravo.gov.ru/document/0001202311300048 (дата обращения: 08.10.2026).</w:t>
      </w:r>
    </w:p>
    <w:p>
      <w:pPr>
        <w:ind w:firstLine="0"/>
        <w:jc w:val="left"/>
      </w:pPr>
      <w:r>
        <w:t>54. О специальной оценке условий труда : федеральный закон от 28.12.2013 № 426-ФЗ : принят Государственной думой 23 декабря 2013 года : одобрен Советом Федерации 25 декабря 2013 года. – Текст : электронный // КонсультантПлюс : надежная правовая поддержка : [сайт]. – URL: https://www.consultant.ru/document/cons_doc_LAW_156555/ (дата обращения: 08.10.2026).</w:t>
      </w:r>
    </w:p>
    <w:p>
      <w:pPr>
        <w:ind w:firstLine="0"/>
        <w:jc w:val="left"/>
      </w:pPr>
      <w:r>
        <w:t>55. ГОСТ 12.0.003-2015. Система стандартов безопасности труда. Опасные и вредные производственные факторы. Классификация : межгосударственный стандарт : издание официальное : введен в действие в качестве национального стандарта Российской Федерации Приказом Росстандарта от 09.06.2016 № 602-ст : дата введения 2017-03-01. – Текст : электронный // Электронный фонд правовых и нормативно-технических документов : [сайт]. – URL: https://docs.cntd.ru/document/1200136071 (дата обращения: 08.10.2026).</w:t>
      </w:r>
    </w:p>
    <w:p>
      <w:pPr>
        <w:ind w:firstLine="0"/>
        <w:jc w:val="left"/>
      </w:pPr>
      <w:r>
        <w:t>56. ГОСТ 12.1.005-88. Система стандартов безопасности труда. Общие санитарно-гигиенические требования к воздуху рабочей зоны : межгосударственный стандарт : издание официальное : утвержден и введен в действие Постановлением Госстандарта СССР от 29.09.1988 № 3388 : дата введения 1989-01-01. – Текст : электронный // Электронный фонд правовых и нормативно-технических документов : [сайт]. – URL: https://docs.cntd.ru/document/1200003608 (дата обращения: 08.10.2026).</w:t>
      </w:r>
    </w:p>
    <w:p>
      <w:pPr>
        <w:ind w:firstLine="0"/>
        <w:jc w:val="left"/>
      </w:pPr>
      <w:r>
        <w:t>57. СанПиН 1.2.3685-21. Гигиенические нормативы и требования к обеспечению безопасности и (или) безвредности для человека факторов среды обитания : санитарные правила и нормы : утверждены постановлением Главного государственного санитарного врача Российской Федерации от 28.01.2021 № 2 (ред. от 24.12.2025) : дата введения 2021-03-01. – Текст : электронный // Электронный фонд правовых и нормативно-технических документов : [сайт]. – URL: https://docs.cntd.ru/document/573500115 (дата обращения: 08.10.2026).</w:t>
      </w:r>
    </w:p>
    <w:p>
      <w:pPr>
        <w:ind w:firstLine="0"/>
        <w:jc w:val="left"/>
      </w:pPr>
      <w:r>
        <w:t>58. Нормализация воздуха в помещениях предприятий аэрокосмической отрасли : учебное пособие / Т. В. Голованова [и др.] ; Московский авиационный институт (национальный исследовательский университет). – Москва : МАИ, 2019. – 88 с. : ил. – Текст : непосредственный.</w:t>
      </w:r>
    </w:p>
    <w:p>
      <w:pPr>
        <w:ind w:firstLine="0"/>
        <w:jc w:val="left"/>
      </w:pPr>
      <w:r>
        <w:t>59. СП 52.13330.2016. Естественное и искусственное освещение. Актуализированная редакция СНиП 23-05-95* : свод правил : утвержден приказом Минстроя России от 07.11.2016 № 777/пр : дата введения 2017-05-08. – Текст : электронный // Электронный фонд правовых и нормативно-технических документов : [сайт]. – URL: https://docs.cntd.ru/document/456054197 (дата обращения: 08.10.2026).</w:t>
      </w:r>
    </w:p>
    <w:p>
      <w:pPr>
        <w:ind w:firstLine="0"/>
        <w:jc w:val="left"/>
      </w:pPr>
      <w:r>
        <w:t>60. Беков, Б. Е. Производственное освещение авиастроительных предприятий : методические указания к разделу «Охрана труда и окружающей среды» дипломного проекта / Б. Е. Беков, Н. И. Бобков, А. В. Копылов, Н. С. Чудакова. – Москва : Изд-во МАИ, 1987. – 46 с. : ил. – Текст : непосредственный.</w:t>
      </w:r>
    </w:p>
    <w:p>
      <w:pPr>
        <w:ind w:firstLine="0"/>
        <w:jc w:val="left"/>
      </w:pPr>
      <w:r>
        <w:t>61. Универсальная светодиодная панель MASTER ДВО 48W-4000K-595х595х40-опал IP40 KZS : артикул 48786 : технические характеристики / FERON. – Текст : электронный // FERON : [сайт]. – URL: https://feron.ru/catalog/svetodiodnye_paneli_armstrong/universalnaya_svetodiodnaya_panel_master_dvo_48w_4000k_595kh595kh40_opal_ip40_kzs/ (дата обращения: 23.10.2026).</w:t>
      </w:r>
    </w:p>
    <w:p>
      <w:pPr>
        <w:ind w:firstLine="0"/>
        <w:jc w:val="left"/>
      </w:pPr>
      <w:r>
        <w:t>62. СП 51.13330.2011. Защита от шума. Актуализированная редакция СНиП 23-03-2003 : свод правил : утвержден приказом Министерства регионального развития Российской Федерации от 28.12.2010 № 825 (ред. от 12.12.2023) : дата введения 2011-05-20. – Текст : электронный // Электронный фонд правовых и нормативно-технических документов : [сайт]. – URL: https://docs.cntd.ru/document/1200084097 (дата обращения: 23.10.2026).</w:t>
      </w:r>
    </w:p>
    <w:p>
      <w:pPr>
        <w:ind w:firstLine="0"/>
        <w:jc w:val="left"/>
      </w:pPr>
      <w:r>
        <w:t>63. HP Pro Series 400 G9 Desktop PCs : QuickSpecs c08017709 : Version 18, May 8, 2025 / HP Inc. – 99 p. – Текст : электронный // HP : [сайт]. – URL: https://h20195.www2.hp.com/v2/GetDocument.aspx?docname=c08017709 (дата обращения: 22.10.2026).</w:t>
      </w:r>
    </w:p>
    <w:p>
      <w:pPr>
        <w:ind w:firstLine="0"/>
        <w:jc w:val="left"/>
      </w:pPr>
      <w:r>
        <w:t>64. Сплит-системы Daichi AIR : AIR20AVQ1 / AIR20FV1 – AIR70AVQ1 / AIR70FV1 : технические характеристики. – Текст : электронный // Библиотека С.О.К. : [сайт]. – URL: https://c-o-k.ru/library/instructions/daichi/kondicionery-bytovye/133972.pdf (дата обращения: 22.10.2026).</w:t>
      </w:r>
    </w:p>
    <w:p>
      <w:pPr>
        <w:ind w:firstLine="0"/>
        <w:jc w:val="left"/>
      </w:pPr>
      <w:r>
        <w:t>65. Шредер Cactus CS-SH-G6 : характеристики. – Текст : электронный // КНС : [сайт]. – URL: https://www.kns.ru/product/shreder-cactus-cs-sh-g6/characteristics/ (дата обращения: 22.10.2026).</w:t>
      </w:r>
    </w:p>
    <w:p>
      <w:pPr>
        <w:ind w:firstLine="0"/>
        <w:jc w:val="left"/>
      </w:pPr>
      <w:r>
        <w:t>66. Яров, В. Н. Защита от шума и вибраций : методические указания к дипломному проектированию / В. Н. Яров, Л. И. Малько. – Москва : МАИ, 1985. – Текст : непосредственный.</w:t>
      </w:r>
    </w:p>
    <w:p>
      <w:pPr>
        <w:ind w:firstLine="0"/>
        <w:jc w:val="left"/>
      </w:pPr>
      <w:r>
        <w:t>67. Дайнов, М. И. Борьба с шумами и вибрациями в авиационной промышленности : методические указания к дипломному проектированию / М. И. Дайнов, Л. И. Малько, В. Н. Яров. – Москва : Изд-во МАИ, 1989. – Текст : непосредственный.</w:t>
      </w:r>
    </w:p>
    <w:p>
      <w:pPr>
        <w:ind w:firstLine="0"/>
        <w:jc w:val="left"/>
      </w:pPr>
      <w:r>
        <w:t>68. Р 2.2.2006-05. Гигиена труда. Руководство по гигиенической оценке факторов рабочей среды и трудового процесса. Критерии и классификация условий труда : руководство : утверждено 29.07.2005 : дата введения 2005-11-01. – Текст : электронный // Электронный фонд правовых и нормативно-технических документов : [сайт]. – URL: https://docs.cntd.ru/document/1200040973 (дата обращения: 08.10.2026).</w:t>
      </w:r>
    </w:p>
    <w:p>
      <w:pPr>
        <w:ind w:firstLine="0"/>
        <w:jc w:val="left"/>
      </w:pPr>
      <w:r>
        <w:t>69. ГОСТ 12.2.032-78. Система стандартов безопасности труда. Рабочее место при выполнении работ сидя. Общие эргономические требования : межгосударственный стандарт : издание официальное : утвержден и введен в действие Постановлением Госстандарта СССР от 26.04.1978 № 1102 : дата введения 1979-01-01. – Текст : электронный // Электронный фонд правовых и нормативно-технических документов : [сайт]. – URL: https://docs.cntd.ru/document/1200003913 (дата обращения: 08.10.2026).</w:t>
      </w:r>
    </w:p>
    <w:p>
      <w:pPr>
        <w:ind w:firstLine="0"/>
        <w:jc w:val="left"/>
      </w:pPr>
      <w:r>
        <w:t>70. ГОСТ Р 50923-96. Дисплеи. Рабочее место оператора. Общие эргономические требования и требования к производственной среде. Методы измерения : государственный стандарт Российской Федерации : издание официальное : утвержден и введен в действие Постановлением Госстандарта России от 10.07.1996 № 451 : дата введения 1997-07-01. – Текст : электронный // Электронный фонд правовых и нормативно-технических документов : [сайт]. – URL: https://docs.cntd.ru/document/1200025975 (дата обращения: 08.10.2026).</w:t>
      </w:r>
    </w:p>
    <w:p>
      <w:pPr>
        <w:ind w:firstLine="0"/>
        <w:jc w:val="left"/>
      </w:pPr>
      <w:r>
        <w:t>71. ГОСТ Р 50948-2001. Средства отображения информации индивидуального пользования. Общие эргономические требования и требования безопасности : государственный стандарт Российской Федерации : издание официальное : принят и введен в действие Постановлением Госстандарта России от 25.12.2001 № 576-ст : дата введения 2002-07-01. – Текст : электронный // Электронный фонд правовых и нормативно-технических документов : [сайт]. – URL: https://docs.cntd.ru/document/1200028904 (дата обращения: 08.10.2026).</w:t>
      </w:r>
    </w:p>
    <w:p>
      <w:pPr>
        <w:ind w:firstLine="0"/>
        <w:jc w:val="left"/>
      </w:pPr>
      <w:r>
        <w:t>72. ГОСТ Р ИСО 9241-4-2009. Эргономические требования к проведению офисных работ с использованием видеодисплейных терминалов (VDT). Часть 4. Требования к клавиатуре : национальный стандарт Российской Федерации : издание официальное : утвержден и введен в действие Приказом Ростехрегулирования от 07.12.2009 № 579-ст : дата введения 2010-12-01. – Текст : электронный // Электронный фонд правовых и нормативно-технических документов : [сайт]. – URL: https://docs.cntd.ru/document/1200076334 (дата обращения: 08.10.2026).</w:t>
      </w:r>
    </w:p>
    <w:p>
      <w:pPr>
        <w:ind w:firstLine="0"/>
        <w:jc w:val="left"/>
      </w:pPr>
      <w:r>
        <w:t>73. Правила устройства электроустановок. Глава 1.1. Общая часть : издание седьмое : утверждена приказом Минэнерго России от 08.07.2002 № 204 : дата введения 2003-01-01. – Текст : электронный // Электронный фонд правовых и нормативно-технических документов : [сайт]. – URL: https://docs.cntd.ru/document/1200030216 (дата обращения: 08.10.2026).</w:t>
      </w:r>
    </w:p>
    <w:p>
      <w:pPr>
        <w:ind w:firstLine="0"/>
        <w:jc w:val="left"/>
      </w:pPr>
      <w:r>
        <w:t>74. ГОСТ 12.1.038-82. Система стандартов безопасности труда. Электробезопасность. Предельно допустимые значения напряжений прикосновения и токов : межгосударственный стандарт : издание официальное : утвержден и введен в действие Постановлением Госстандарта СССР от 30.07.1982 № 2987 : дата введения 1983-07-01. – Текст : электронный // Электронный фонд правовых и нормативно-технических документов : [сайт]. – URL: https://docs.cntd.ru/document/5200313 (дата обращения: 08.10.2026).</w:t>
      </w:r>
    </w:p>
    <w:p>
      <w:pPr>
        <w:ind w:firstLine="0"/>
        <w:jc w:val="left"/>
      </w:pPr>
      <w:r>
        <w:t>75. ГОСТ 12.1.019-2017. Система стандартов безопасности труда. Электробезопасность. Общие требования и номенклатура видов защиты : межгосударственный стандарт : издание официальное : введен в действие Приказом Росстандарта от 07.11.2018 № 941-ст : дата введения 2019-01-01. – Текст : электронный // Meganorm : [сайт]. – URL: https://meganorm.ru/mega_doc/norm/gost_gosudarstvennyj-standart/1/gost_12_1_019-2017_mezhgosudarstvennyy_standart_sistema.html (дата обращения: 15.10.2026).</w:t>
      </w:r>
    </w:p>
    <w:p>
      <w:pPr>
        <w:ind w:firstLine="0"/>
        <w:jc w:val="left"/>
      </w:pPr>
      <w:r>
        <w:t>76. Яров, В. Н. Выбор мероприятий и расчет элементов электрозащиты : методические указания к разделу «Охрана труда и окружающей среды» дипломного проекта / В. Н. Яров. – Москва : Изд-во МАИ, 1988. – Текст : непосредственный.</w:t>
      </w:r>
    </w:p>
    <w:p>
      <w:pPr>
        <w:ind w:firstLine="0"/>
        <w:jc w:val="left"/>
      </w:pPr>
      <w:r>
        <w:t>77. Технический регламент о требованиях пожарной безопасности : федеральный закон от 22.07.2008 № 123-ФЗ : принят Государственной думой 4 июля 2008 года : одобрен Советом Федерации 11 июля 2008 года. – Текст : электронный // Электронный фонд правовых и нормативно-технических документов : [сайт]. – URL: https://docs.cntd.ru/document/902111644 (дата обращения: 08.10.2026).</w:t>
      </w:r>
    </w:p>
    <w:p>
      <w:pPr>
        <w:ind w:firstLine="0"/>
        <w:jc w:val="left"/>
      </w:pPr>
      <w:r>
        <w:t>78. СП 12.13130.2009. Определение категорий помещений, зданий и наружных установок по взрывопожарной и пожарной опасности : свод правил : утвержден приказом МЧС России от 25.03.2009 № 182 : дата введения 2009-05-01. – Текст : электронный // Электронный фонд правовых и нормативно-технических документов : [сайт]. – URL: https://docs.cntd.ru/document/1200071156 (дата обращения: 08.10.2026).</w:t>
      </w:r>
    </w:p>
    <w:p>
      <w:pPr>
        <w:ind w:firstLine="0"/>
        <w:jc w:val="left"/>
      </w:pPr>
      <w:r>
        <w:t>79. Об утверждении Правил противопожарного режима в Российской Федерации : постановление Правительства Российской Федерации от 16.09.2020 № 1479. – Текст : электронный // Электронный фонд правовых и нормативно-технических документов : [сайт]. – URL: https://docs.cntd.ru/document/565837297 (дата обращения: 08.10.2026).</w:t>
      </w:r>
    </w:p>
    <w:p>
      <w:pPr>
        <w:ind w:firstLine="0"/>
        <w:jc w:val="left"/>
      </w:pPr>
      <w:r>
        <w:t>80. СП 9.13130.2009. Техника пожарная. Огнетушители. Требования к эксплуатации : свод правил : утвержден приказом МЧС России от 25.03.2009 № 179 : дата введения 2009-05-01. – Текст : электронный // Электронный фонд правовых и нормативно-технических документов : [сайт]. – URL: https://docs.cntd.ru/document/1200071152 (дата обращения: 08.10.2026).</w:t>
      </w:r>
    </w:p>
    <w:p>
      <w:pPr>
        <w:ind w:firstLine="0"/>
        <w:jc w:val="left"/>
      </w:pPr>
      <w:r>
        <w:t>81. СП 1.13130.2020. Системы противопожарной защиты. Эвакуационные пути и выходы : свод правил : утвержден приказом МЧС России от 19.03.2020 № 194 : дата введения 2020-09-19. – Текст : электронный // Электронный фонд правовых и нормативно-технических документов : [сайт]. – URL: https://docs.cntd.ru/document/565248961 (дата обращения: 22.10.2026).</w:t>
      </w:r>
    </w:p>
    <w:p>
      <w:pPr>
        <w:ind w:firstLine="0"/>
        <w:jc w:val="left"/>
      </w:pPr>
      <w:r>
        <w:t>82. Кнорринг, Г. М. Справочная книга для проектирования электрического освещения / Г. М. Кнорринг, И. М. Фадин, В. Н. Сидоров. – 2-е изд., перераб. и доп. – Санкт-Петербург : Энергоатомиздат, 1992. – 448 с. – Текст : непосредственный.</w:t>
      </w:r>
    </w:p>
    <w:sectPr w:rsidR="00FC693F" w:rsidRPr="0006063C" w:rsidSect="00034616">
      <w:headerReference w:type="default" r:id="rId22"/>
      <w:footerReference w:type="default" r:id="rId23"/>
      <w:pgSz w:w="11906" w:h="16838"/>
      <w:pgMar w:top="1134" w:right="850" w:bottom="1417" w:left="1701" w:header="283" w:footer="283" w:gutter="0"/>
      <w:cols w:space="720"/>
      <w:docGrid w:linePitch="360"/>
      <w:pgNumType w:start="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170" w:lineRule="exact"/>
      <w:ind w:firstLine="0"/>
      <w:rPr>
        <w:sz w:val="2"/>
      </w:rPr>
    </w:pPr>
  </w:p>
  <w:tbl xmlns:cx="http://schemas.microsoft.com/office/drawing/2014/chartex" xmlns:cx1="http://schemas.microsoft.com/office/drawing/2015/9/8/chartex" xmlns:w15="http://schemas.microsoft.com/office/word/2012/wordml" xmlns:w16se="http://schemas.microsoft.com/office/word/2015/wordml/symex">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Ind w:w="-567" w:type="dxa"/>
    </w:tblPr>
    <w:tblGrid>
      <w:gridCol w:w="397"/>
      <w:gridCol w:w="567"/>
      <w:gridCol w:w="1304"/>
      <w:gridCol w:w="851"/>
      <w:gridCol w:w="567"/>
      <w:gridCol w:w="6235"/>
      <w:gridCol w:w="567"/>
    </w:tblGrid>
    <w:tr>
      <w:tblPrEx>
        <w:tblCellMar>
          <w:top w:w="0" w:type="dxa"/>
          <w:bottom w:w="0" w:type="dxa"/>
        </w:tblCellMar>
      </w:tblPrEx>
      <w:trPr>
        <w:cantSplit/>
        <w:trHeight w:hRule="exact" w:val="284"/>
      </w:trPr>
      <w:tc>
        <w:tcPr>
          <w:tcW w:w="397" w:type="dxa"/>
          <w:tcBorders>
            <w:top w:val="single" w:sz="18" w:space="0" w:color="auto"/>
            <w:left w:val="nil"/>
            <w:right w:val="single" w:sz="18" w:space="0" w:color="auto"/>
          </w:tcBorders>
          <w:vAlign w:val="center"/>
        </w:tcPr>
        <w:p>
          <w:pPr>
            <w:spacing w:before="0" w:after="0" w:line="240" w:lineRule="auto"/>
            <w:ind w:firstLine="0" w:left="0"/>
            <w:rPr>
              <w:sz w:val="18"/>
            </w:rPr>
          </w:pPr>
        </w:p>
      </w:tc>
      <w:tc>
        <w:tcPr>
          <w:tcW w:w="567" w:type="dxa"/>
          <w:tcBorders>
            <w:top w:val="single" w:sz="18" w:space="0" w:color="auto"/>
            <w:left w:val="nil"/>
            <w:right w:val="single" w:sz="18" w:space="0" w:color="auto"/>
          </w:tcBorders>
          <w:vAlign w:val="center"/>
        </w:tcPr>
        <w:p>
          <w:pPr>
            <w:spacing w:before="0" w:after="0" w:line="240" w:lineRule="auto"/>
            <w:ind w:firstLine="0" w:left="0"/>
            <w:rPr>
              <w:sz w:val="18"/>
            </w:rPr>
          </w:pPr>
        </w:p>
      </w:tc>
      <w:tc>
        <w:tcPr>
          <w:tcW w:w="1304" w:type="dxa"/>
          <w:tcBorders>
            <w:top w:val="single" w:sz="18" w:space="0" w:color="auto"/>
            <w:left w:val="nil"/>
            <w:right w:val="nil"/>
          </w:tcBorders>
          <w:vAlign w:val="center"/>
        </w:tcPr>
        <w:p>
          <w:pPr>
            <w:spacing w:before="0" w:after="0" w:line="240" w:lineRule="auto"/>
            <w:ind w:firstLine="0" w:left="0"/>
            <w:rPr>
              <w:sz w:val="18"/>
            </w:rPr>
          </w:pPr>
        </w:p>
      </w:tc>
      <w:tc>
        <w:tcPr>
          <w:tcW w:w="851" w:type="dxa"/>
          <w:tcBorders>
            <w:top w:val="single" w:sz="18" w:space="0" w:color="auto"/>
            <w:left w:val="single" w:sz="18" w:space="0" w:color="auto"/>
            <w:right w:val="single" w:sz="18" w:space="0" w:color="auto"/>
          </w:tcBorders>
          <w:vAlign w:val="center"/>
        </w:tcPr>
        <w:p>
          <w:pPr>
            <w:spacing w:before="0" w:after="0" w:line="240" w:lineRule="auto"/>
            <w:ind w:firstLine="0" w:left="0"/>
            <w:rPr>
              <w:sz w:val="18"/>
            </w:rPr>
          </w:pPr>
        </w:p>
      </w:tc>
      <w:tc>
        <w:tcPr>
          <w:tcW w:w="567" w:type="dxa"/>
          <w:tcBorders>
            <w:top w:val="single" w:sz="18" w:space="0" w:color="auto"/>
            <w:left w:val="nil"/>
            <w:right w:val="single" w:sz="18" w:space="0" w:color="auto"/>
          </w:tcBorders>
          <w:vAlign w:val="center"/>
        </w:tcPr>
        <w:p>
          <w:pPr>
            <w:spacing w:before="0" w:after="0" w:line="240" w:lineRule="auto"/>
            <w:ind w:firstLine="0" w:left="0"/>
            <w:rPr>
              <w:sz w:val="18"/>
            </w:rPr>
          </w:pPr>
        </w:p>
      </w:tc>
      <w:tc>
        <w:tcPr>
          <w:tcW w:w="6235" w:type="dxa"/>
          <w:vMerge w:val="restart"/>
          <w:tcBorders>
            <w:top w:val="single" w:sz="18" w:space="0" w:color="auto"/>
            <w:left w:val="nil"/>
            <w:bottom w:val="nil"/>
            <w:right w:val="single" w:sz="18" w:space="0" w:color="auto"/>
          </w:tcBorders>
          <w:vAlign w:val="center"/>
        </w:tcPr>
        <w:p>
          <w:pPr>
            <w:spacing w:before="0" w:after="0" w:line="240" w:lineRule="auto"/>
            <w:ind w:firstLine="0" w:left="0"/>
            <w:rPr>
              <w:i w:val="0"/>
              <w:lang w:val="ru-RU"/>
            </w:rPr>
            <w:jc w:val="center"/>
          </w:pPr>
          <w:r>
            <w:rPr>
              <w:rFonts w:ascii="Arial" w:hAnsi="Arial" w:cs="Arial" w:eastAsia="Arial"/>
              <w:i/>
              <w:sz w:val="32"/>
              <w:szCs w:val="32"/>
            </w:rPr>
            <w:t xml:space="preserve">МАИР.460327.001</w:t>
          </w:r>
        </w:p>
      </w:tc>
      <w:tc>
        <w:tcPr>
          <w:tcW w:w="567" w:type="dxa"/>
          <w:tcBorders>
            <w:top w:val="single" w:sz="18" w:space="0" w:color="auto"/>
            <w:left w:val="nil"/>
            <w:bottom w:val="single" w:sz="18" w:space="0" w:color="auto"/>
            <w:right w:val="nil"/>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Лист</w:t>
          </w:r>
        </w:p>
      </w:tc>
    </w:tr>
    <w:tr>
      <w:tblPrEx>
        <w:tblCellMar>
          <w:top w:w="0" w:type="dxa"/>
          <w:bottom w:w="0" w:type="dxa"/>
        </w:tblCellMar>
      </w:tblPrEx>
      <w:trPr>
        <w:cantSplit/>
        <w:trHeight w:hRule="exact" w:val="284"/>
      </w:trPr>
      <w:tc>
        <w:tcPr>
          <w:tcW w:w="397" w:type="dxa"/>
          <w:tcBorders>
            <w:left w:val="nil"/>
            <w:bottom w:val="nil"/>
            <w:right w:val="single" w:sz="18" w:space="0" w:color="auto"/>
          </w:tcBorders>
          <w:vAlign w:val="center"/>
        </w:tcPr>
        <w:p>
          <w:pPr>
            <w:spacing w:before="0" w:after="0" w:line="240" w:lineRule="auto"/>
            <w:ind w:firstLine="0" w:left="0"/>
            <w:rPr>
              <w:sz w:val="18"/>
            </w:rPr>
          </w:pPr>
        </w:p>
      </w:tc>
      <w:tc>
        <w:tcPr>
          <w:tcW w:w="567" w:type="dxa"/>
          <w:tcBorders>
            <w:left w:val="nil"/>
            <w:bottom w:val="nil"/>
            <w:right w:val="single" w:sz="18" w:space="0" w:color="auto"/>
          </w:tcBorders>
          <w:vAlign w:val="center"/>
        </w:tcPr>
        <w:p>
          <w:pPr>
            <w:spacing w:before="0" w:after="0" w:line="240" w:lineRule="auto"/>
            <w:ind w:firstLine="0" w:left="0"/>
            <w:rPr>
              <w:sz w:val="18"/>
            </w:rPr>
          </w:pPr>
        </w:p>
      </w:tc>
      <w:tc>
        <w:tcPr>
          <w:tcW w:w="1304" w:type="dxa"/>
          <w:tcBorders>
            <w:left w:val="nil"/>
            <w:bottom w:val="nil"/>
            <w:right w:val="nil"/>
          </w:tcBorders>
          <w:vAlign w:val="center"/>
        </w:tcPr>
        <w:p>
          <w:pPr>
            <w:spacing w:before="0" w:after="0" w:line="240" w:lineRule="auto"/>
            <w:ind w:firstLine="0" w:left="0"/>
            <w:rPr>
              <w:sz w:val="18"/>
            </w:rPr>
          </w:pPr>
        </w:p>
      </w:tc>
      <w:tc>
        <w:tcPr>
          <w:tcW w:w="851" w:type="dxa"/>
          <w:tcBorders>
            <w:left w:val="single" w:sz="18" w:space="0" w:color="auto"/>
            <w:bottom w:val="nil"/>
            <w:right w:val="single" w:sz="18" w:space="0" w:color="auto"/>
          </w:tcBorders>
          <w:vAlign w:val="center"/>
        </w:tcPr>
        <w:p>
          <w:pPr>
            <w:spacing w:before="0" w:after="0" w:line="240" w:lineRule="auto"/>
            <w:ind w:firstLine="0" w:left="0"/>
            <w:rPr>
              <w:sz w:val="18"/>
            </w:rPr>
          </w:pPr>
        </w:p>
      </w:tc>
      <w:tc>
        <w:tcPr>
          <w:tcW w:w="567" w:type="dxa"/>
          <w:tcBorders>
            <w:left w:val="nil"/>
            <w:bottom w:val="nil"/>
            <w:right w:val="single" w:sz="18" w:space="0" w:color="auto"/>
          </w:tcBorders>
          <w:vAlign w:val="center"/>
        </w:tcPr>
        <w:p>
          <w:pPr>
            <w:spacing w:before="0" w:after="0" w:line="240" w:lineRule="auto"/>
            <w:ind w:firstLine="0" w:left="0"/>
            <w:rPr>
              <w:sz w:val="18"/>
            </w:rPr>
          </w:pPr>
        </w:p>
      </w:tc>
      <w:tc>
        <w:tcPr>
          <w:tcW w:w="6235" w:type="dxa"/>
          <w:vMerge/>
          <w:tcBorders>
            <w:top w:val="single" w:sz="18" w:space="0" w:color="auto"/>
            <w:left w:val="nil"/>
            <w:bottom w:val="nil"/>
            <w:right w:val="single" w:sz="18" w:space="0" w:color="auto"/>
          </w:tcBorders>
          <w:vAlign w:val="center"/>
        </w:tcPr>
        <w:p>
          <w:pPr>
            <w:spacing w:before="0" w:after="0" w:line="240" w:lineRule="auto"/>
            <w:ind w:firstLine="0" w:left="0"/>
            <w:rPr>
              <w:sz w:val="18"/>
            </w:rPr>
          </w:pPr>
        </w:p>
      </w:tc>
      <w:tc>
        <w:tcPr>
          <w:tcW w:w="567" w:type="dxa"/>
          <w:vMerge w:val="restart"/>
          <w:tcBorders>
            <w:top w:val="single" w:sz="18" w:space="0" w:color="auto"/>
            <w:left w:val="nil"/>
            <w:bottom w:val="single" w:sz="18" w:space="0" w:color="auto"/>
            <w:right w:val="nil"/>
          </w:tcBorders>
          <w:vAlign w:val="center"/>
        </w:tcPr>
        <w:p>
          <w:pPr>
            <w:spacing w:before="0" w:after="0" w:line="240" w:lineRule="auto"/>
            <w:ind w:firstLine="0" w:left="0"/>
            <w:rPr>
              <w:sz w:val="18"/>
            </w:rPr>
            <w:jc w:val="center"/>
          </w:pPr>
          <w:r>
            <w:rPr>
              <w:rFonts w:ascii="Arial" w:hAnsi="Arial" w:cs="Arial" w:eastAsia="Arial"/>
              <w:i/>
              <w:sz w:val="22"/>
              <w:szCs w:val="22"/>
            </w:rPr>
            <w:fldChar w:fldCharType="begin"/>
          </w:r>
          <w:r>
            <w:rPr>
              <w:rFonts w:ascii="Arial" w:hAnsi="Arial" w:cs="Arial" w:eastAsia="Arial"/>
              <w:i/>
              <w:sz w:val="22"/>
              <w:szCs w:val="22"/>
            </w:rPr>
            <w:instrText xml:space="preserve"> PAGE </w:instrText>
          </w:r>
          <w:r>
            <w:rPr>
              <w:rFonts w:ascii="Arial" w:hAnsi="Arial" w:cs="Arial" w:eastAsia="Arial"/>
              <w:i/>
              <w:sz w:val="22"/>
              <w:szCs w:val="22"/>
            </w:rPr>
            <w:fldChar w:fldCharType="end"/>
          </w:r>
        </w:p>
      </w:tc>
    </w:tr>
    <w:tr>
      <w:tblPrEx>
        <w:tblCellMar>
          <w:top w:w="0" w:type="dxa"/>
          <w:bottom w:w="0" w:type="dxa"/>
        </w:tblCellMar>
      </w:tblPrEx>
      <w:trPr>
        <w:cantSplit/>
        <w:trHeight w:hRule="exact" w:val="284"/>
      </w:trPr>
      <w:tc>
        <w:tcPr>
          <w:tcW w:w="397" w:type="dxa"/>
          <w:tcBorders>
            <w:top w:val="single" w:sz="18" w:space="0" w:color="auto"/>
            <w:left w:val="nil"/>
            <w:bottom w:val="single" w:sz="4"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Изм.</w:t>
          </w:r>
        </w:p>
      </w:tc>
      <w:tc>
        <w:tcPr>
          <w:tcW w:w="567" w:type="dxa"/>
          <w:tcBorders>
            <w:top w:val="single" w:sz="18" w:space="0" w:color="auto"/>
            <w:left w:val="nil"/>
            <w:bottom w:val="single" w:sz="4"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Лист</w:t>
          </w:r>
        </w:p>
      </w:tc>
      <w:tc>
        <w:tcPr>
          <w:tcW w:w="1304" w:type="dxa"/>
          <w:tcBorders>
            <w:top w:val="single" w:sz="18" w:space="0" w:color="auto"/>
            <w:left w:val="nil"/>
            <w:bottom w:val="single" w:sz="4" w:space="0" w:color="auto"/>
            <w:right w:val="nil"/>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Подпись</w:t>
          </w:r>
        </w:p>
      </w:tc>
      <w:tc>
        <w:tcPr>
          <w:tcW w:w="567" w:type="dxa"/>
          <w:tcBorders>
            <w:top w:val="single" w:sz="18" w:space="0" w:color="auto"/>
            <w:left w:val="nil"/>
            <w:bottom w:val="single" w:sz="4"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Дата</w:t>
          </w:r>
        </w:p>
      </w:tc>
      <w:tc>
        <w:tcPr>
          <w:tcW w:w="6235" w:type="dxa"/>
          <w:vMerge/>
          <w:tcBorders>
            <w:top w:val="single" w:sz="18" w:space="0" w:color="auto"/>
            <w:left w:val="nil"/>
            <w:bottom w:val="single" w:sz="4" w:space="0" w:color="auto"/>
            <w:right w:val="single" w:sz="18" w:space="0" w:color="auto"/>
          </w:tcBorders>
          <w:vAlign w:val="center"/>
        </w:tcPr>
        <w:p>
          <w:pPr>
            <w:spacing w:before="0" w:after="0" w:line="240" w:lineRule="auto"/>
            <w:ind w:firstLine="0" w:left="0"/>
            <w:rPr>
              <w:sz w:val="18"/>
            </w:rPr>
          </w:pPr>
        </w:p>
      </w:tc>
      <w:tc>
        <w:tcPr>
          <w:tcW w:w="567" w:type="dxa"/>
          <w:vMerge/>
          <w:tcBorders>
            <w:top w:val="single" w:sz="18" w:space="0" w:color="auto"/>
            <w:left w:val="nil"/>
            <w:bottom w:val="single" w:sz="4" w:space="0" w:color="auto"/>
            <w:right w:val="nil"/>
          </w:tcBorders>
          <w:vAlign w:val="center"/>
        </w:tcPr>
        <w:p>
          <w:pPr>
            <w:spacing w:before="0" w:after="0" w:line="240" w:lineRule="auto"/>
            <w:ind w:firstLine="0" w:left="0"/>
            <w:rPr>
              <w:sz w:val="18"/>
            </w:rPr>
          </w:pPr>
        </w:p>
      </w:tc>
    </w:tr>
  </w:tbl>
  <w:p>
    <w:pPr>
      <w:spacing w:before="0" w:after="0" w:line="20" w:lineRule="exact"/>
      <w:ind w:firstLine="0"/>
      <w:rPr>
        <w:sz w:val="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170" w:lineRule="exact"/>
      <w:ind w:firstLine="0"/>
      <w:rPr>
        <w:sz w:val="2"/>
      </w:rPr>
    </w:pPr>
  </w:p>
  <w:tbl xmlns:cx="http://schemas.microsoft.com/office/drawing/2014/chartex" xmlns:cx1="http://schemas.microsoft.com/office/drawing/2015/9/8/chartex" xmlns:w15="http://schemas.microsoft.com/office/word/2012/wordml" xmlns:w16se="http://schemas.microsoft.com/office/word/2015/wordml/symex">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Ind w:w="-567" w:type="dxa"/>
    </w:tblPr>
    <w:tblGrid>
      <w:gridCol w:w="397"/>
      <w:gridCol w:w="567"/>
      <w:gridCol w:w="1304"/>
      <w:gridCol w:w="851"/>
      <w:gridCol w:w="567"/>
      <w:gridCol w:w="4109"/>
      <w:gridCol w:w="284"/>
      <w:gridCol w:w="284"/>
      <w:gridCol w:w="284"/>
      <w:gridCol w:w="851"/>
      <w:gridCol w:w="990"/>
    </w:tblGrid>
    <w:tr>
      <w:tblPrEx>
        <w:tblCellMar>
          <w:top w:w="0" w:type="dxa"/>
          <w:bottom w:w="0" w:type="dxa"/>
        </w:tblCellMar>
      </w:tblPrEx>
      <w:trPr>
        <w:cantSplit/>
        <w:trHeight w:hRule="exact" w:val="284"/>
      </w:trPr>
      <w:tc>
        <w:tcPr>
          <w:tcW w:w="397" w:type="dxa"/>
          <w:tcBorders>
            <w:top w:val="single" w:sz="18" w:space="0" w:color="auto"/>
            <w:left w:val="nil"/>
            <w:right w:val="single" w:sz="18" w:space="0" w:color="auto"/>
          </w:tcBorders>
          <w:vAlign w:val="center"/>
        </w:tcPr>
        <w:p>
          <w:pPr>
            <w:spacing w:before="0" w:after="0" w:line="240" w:lineRule="auto"/>
            <w:ind w:firstLine="0" w:left="0"/>
            <w:rPr>
              <w:sz w:val="18"/>
            </w:rPr>
          </w:pPr>
        </w:p>
      </w:tc>
      <w:tc>
        <w:tcPr>
          <w:tcW w:w="567" w:type="dxa"/>
          <w:tcBorders>
            <w:top w:val="single" w:sz="18" w:space="0" w:color="auto"/>
            <w:left w:val="nil"/>
            <w:right w:val="single" w:sz="18" w:space="0" w:color="auto"/>
          </w:tcBorders>
          <w:vAlign w:val="center"/>
        </w:tcPr>
        <w:p>
          <w:pPr>
            <w:spacing w:before="0" w:after="0" w:line="240" w:lineRule="auto"/>
            <w:ind w:firstLine="0" w:left="0"/>
            <w:rPr>
              <w:sz w:val="18"/>
            </w:rPr>
          </w:pPr>
        </w:p>
      </w:tc>
      <w:tc>
        <w:tcPr>
          <w:tcW w:w="1304" w:type="dxa"/>
          <w:tcBorders>
            <w:top w:val="single" w:sz="18" w:space="0" w:color="auto"/>
            <w:left w:val="nil"/>
            <w:right w:val="nil"/>
          </w:tcBorders>
          <w:vAlign w:val="center"/>
        </w:tcPr>
        <w:p>
          <w:pPr>
            <w:spacing w:before="0" w:after="0" w:line="240" w:lineRule="auto"/>
            <w:ind w:firstLine="0" w:left="0"/>
            <w:rPr>
              <w:sz w:val="18"/>
            </w:rPr>
          </w:pPr>
        </w:p>
      </w:tc>
      <w:tc>
        <w:tcPr>
          <w:tcW w:w="851" w:type="dxa"/>
          <w:tcBorders>
            <w:top w:val="single" w:sz="18" w:space="0" w:color="auto"/>
            <w:left w:val="single" w:sz="18" w:space="0" w:color="auto"/>
            <w:right w:val="single" w:sz="18" w:space="0" w:color="auto"/>
          </w:tcBorders>
          <w:vAlign w:val="center"/>
        </w:tcPr>
        <w:p>
          <w:pPr>
            <w:spacing w:before="0" w:after="0" w:line="240" w:lineRule="auto"/>
            <w:ind w:firstLine="0" w:left="0"/>
            <w:rPr>
              <w:sz w:val="18"/>
            </w:rPr>
          </w:pPr>
        </w:p>
      </w:tc>
      <w:tc>
        <w:tcPr>
          <w:tcW w:w="567" w:type="dxa"/>
          <w:tcBorders>
            <w:top w:val="single" w:sz="18" w:space="0" w:color="auto"/>
            <w:left w:val="nil"/>
            <w:right w:val="single" w:sz="18" w:space="0" w:color="auto"/>
          </w:tcBorders>
          <w:vAlign w:val="center"/>
        </w:tcPr>
        <w:p>
          <w:pPr>
            <w:spacing w:before="0" w:after="0" w:line="240" w:lineRule="auto"/>
            <w:ind w:firstLine="0" w:left="0"/>
            <w:rPr>
              <w:sz w:val="18"/>
            </w:rPr>
          </w:pPr>
        </w:p>
      </w:tc>
      <w:tc>
        <w:tcPr>
          <w:tcW w:w="6802" w:type="dxa"/>
          <w:gridSpan w:val="6"/>
          <w:vMerge w:val="restart"/>
          <w:tcBorders>
            <w:top w:val="single" w:sz="18" w:space="0" w:color="auto"/>
            <w:left w:val="nil"/>
            <w:bottom w:val="single" w:sz="18" w:space="0" w:color="auto"/>
            <w:right w:val="nil"/>
          </w:tcBorders>
          <w:vAlign w:val="center"/>
        </w:tcPr>
        <w:p>
          <w:pPr>
            <w:spacing w:before="0" w:after="0" w:line="240" w:lineRule="auto"/>
            <w:ind w:firstLine="0" w:left="0"/>
            <w:rPr>
              <w:i/>
              <w:sz w:val="32"/>
              <w:szCs w:val="32"/>
            </w:rPr>
            <w:jc w:val="center"/>
          </w:pPr>
          <w:r>
            <w:rPr>
              <w:rFonts w:ascii="Arial" w:hAnsi="Arial" w:cs="Arial" w:eastAsia="Arial"/>
              <w:i/>
              <w:sz w:val="32"/>
              <w:szCs w:val="32"/>
            </w:rPr>
            <w:t xml:space="preserve">МАИР.460327.001</w:t>
          </w:r>
        </w:p>
      </w:tc>
    </w:tr>
    <w:tr>
      <w:tblPrEx>
        <w:tblCellMar>
          <w:top w:w="0" w:type="dxa"/>
          <w:bottom w:w="0" w:type="dxa"/>
        </w:tblCellMar>
      </w:tblPrEx>
      <w:trPr>
        <w:cantSplit/>
        <w:trHeight w:hRule="exact" w:val="284"/>
      </w:trPr>
      <w:tc>
        <w:tcPr>
          <w:tcW w:w="397" w:type="dxa"/>
          <w:tcBorders>
            <w:left w:val="nil"/>
            <w:bottom w:val="nil"/>
            <w:right w:val="single" w:sz="18" w:space="0" w:color="auto"/>
          </w:tcBorders>
          <w:vAlign w:val="center"/>
        </w:tcPr>
        <w:p>
          <w:pPr>
            <w:spacing w:before="0" w:after="0" w:line="240" w:lineRule="auto"/>
            <w:ind w:firstLine="0" w:left="0"/>
            <w:rPr>
              <w:sz w:val="18"/>
            </w:rPr>
          </w:pPr>
        </w:p>
      </w:tc>
      <w:tc>
        <w:tcPr>
          <w:tcW w:w="567" w:type="dxa"/>
          <w:tcBorders>
            <w:left w:val="nil"/>
            <w:bottom w:val="nil"/>
            <w:right w:val="single" w:sz="18" w:space="0" w:color="auto"/>
          </w:tcBorders>
          <w:vAlign w:val="center"/>
        </w:tcPr>
        <w:p>
          <w:pPr>
            <w:spacing w:before="0" w:after="0" w:line="240" w:lineRule="auto"/>
            <w:ind w:firstLine="0" w:left="0"/>
            <w:rPr>
              <w:sz w:val="18"/>
            </w:rPr>
          </w:pPr>
        </w:p>
      </w:tc>
      <w:tc>
        <w:tcPr>
          <w:tcW w:w="1304" w:type="dxa"/>
          <w:tcBorders>
            <w:left w:val="nil"/>
            <w:bottom w:val="nil"/>
            <w:right w:val="nil"/>
          </w:tcBorders>
          <w:vAlign w:val="center"/>
        </w:tcPr>
        <w:p>
          <w:pPr>
            <w:spacing w:before="0" w:after="0" w:line="240" w:lineRule="auto"/>
            <w:ind w:firstLine="0" w:left="0"/>
            <w:rPr>
              <w:sz w:val="18"/>
            </w:rPr>
          </w:pPr>
        </w:p>
      </w:tc>
      <w:tc>
        <w:tcPr>
          <w:tcW w:w="851" w:type="dxa"/>
          <w:tcBorders>
            <w:left w:val="single" w:sz="18" w:space="0" w:color="auto"/>
            <w:bottom w:val="nil"/>
            <w:right w:val="single" w:sz="18" w:space="0" w:color="auto"/>
          </w:tcBorders>
          <w:vAlign w:val="center"/>
        </w:tcPr>
        <w:p>
          <w:pPr>
            <w:spacing w:before="0" w:after="0" w:line="240" w:lineRule="auto"/>
            <w:ind w:firstLine="0" w:left="0"/>
            <w:rPr>
              <w:sz w:val="18"/>
            </w:rPr>
          </w:pPr>
        </w:p>
      </w:tc>
      <w:tc>
        <w:tcPr>
          <w:tcW w:w="567" w:type="dxa"/>
          <w:tcBorders>
            <w:left w:val="nil"/>
            <w:bottom w:val="nil"/>
            <w:right w:val="single" w:sz="18" w:space="0" w:color="auto"/>
          </w:tcBorders>
          <w:vAlign w:val="center"/>
        </w:tcPr>
        <w:p>
          <w:pPr>
            <w:spacing w:before="0" w:after="0" w:line="240" w:lineRule="auto"/>
            <w:ind w:firstLine="0" w:left="0"/>
            <w:rPr>
              <w:sz w:val="18"/>
            </w:rPr>
          </w:pPr>
        </w:p>
      </w:tc>
      <w:tc>
        <w:tcPr>
          <w:tcW w:w="6802" w:type="dxa"/>
          <w:gridSpan w:val="6"/>
          <w:vMerge/>
          <w:tcBorders>
            <w:left w:val="nil"/>
            <w:bottom w:val="single" w:sz="18" w:space="0" w:color="auto"/>
            <w:right w:val="nil"/>
          </w:tcBorders>
          <w:vAlign w:val="center"/>
        </w:tcPr>
        <w:p>
          <w:pPr>
            <w:spacing w:before="0" w:after="0" w:line="240" w:lineRule="auto"/>
            <w:ind w:firstLine="0" w:left="0"/>
            <w:rPr>
              <w:sz w:val="18"/>
            </w:rPr>
          </w:pPr>
        </w:p>
      </w:tc>
    </w:tr>
    <w:tr>
      <w:tblPrEx>
        <w:tblCellMar>
          <w:top w:w="0" w:type="dxa"/>
          <w:bottom w:w="0" w:type="dxa"/>
        </w:tblCellMar>
      </w:tblPrEx>
      <w:trPr>
        <w:cantSplit/>
        <w:trHeight w:hRule="exact" w:val="284"/>
      </w:trPr>
      <w:tc>
        <w:tcPr>
          <w:tcW w:w="397" w:type="dxa"/>
          <w:tcBorders>
            <w:top w:val="single" w:sz="18" w:space="0" w:color="auto"/>
            <w:left w:val="nil"/>
            <w:bottom w:val="single" w:sz="18"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Изм.</w:t>
          </w:r>
        </w:p>
      </w:tc>
      <w:tc>
        <w:tcPr>
          <w:tcW w:w="567" w:type="dxa"/>
          <w:tcBorders>
            <w:top w:val="single" w:sz="18" w:space="0" w:color="auto"/>
            <w:left w:val="nil"/>
            <w:bottom w:val="single" w:sz="18"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Лист</w:t>
          </w:r>
        </w:p>
      </w:tc>
      <w:tc>
        <w:tcPr>
          <w:tcW w:w="1304" w:type="dxa"/>
          <w:tcBorders>
            <w:top w:val="single" w:sz="18" w:space="0" w:color="auto"/>
            <w:left w:val="nil"/>
            <w:bottom w:val="single" w:sz="18" w:space="0" w:color="auto"/>
            <w:right w:val="nil"/>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 докум</w:t>
          </w:r>
        </w:p>
      </w:tc>
      <w:tc>
        <w:tcPr>
          <w:tcW w:w="851" w:type="dxa"/>
          <w:tcBorders>
            <w:top w:val="single" w:sz="18" w:space="0" w:color="auto"/>
            <w:left w:val="single" w:sz="18" w:space="0" w:color="auto"/>
            <w:bottom w:val="single" w:sz="18"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Подпись</w:t>
          </w:r>
        </w:p>
      </w:tc>
      <w:tc>
        <w:tcPr>
          <w:tcW w:w="567" w:type="dxa"/>
          <w:tcBorders>
            <w:top w:val="single" w:sz="18" w:space="0" w:color="auto"/>
            <w:left w:val="nil"/>
            <w:bottom w:val="single" w:sz="18"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Дата</w:t>
          </w:r>
        </w:p>
      </w:tc>
      <w:tc>
        <w:tcPr>
          <w:tcW w:w="6802" w:type="dxa"/>
          <w:gridSpan w:val="6"/>
          <w:vMerge/>
          <w:tcBorders>
            <w:left w:val="nil"/>
            <w:bottom w:val="single" w:sz="18" w:space="0" w:color="auto"/>
            <w:right w:val="nil"/>
          </w:tcBorders>
          <w:vAlign w:val="center"/>
        </w:tcPr>
        <w:p>
          <w:pPr>
            <w:spacing w:before="0" w:after="0" w:line="240" w:lineRule="auto"/>
            <w:ind w:firstLine="0" w:left="0"/>
            <w:rPr>
              <w:sz w:val="18"/>
            </w:rPr>
          </w:pPr>
        </w:p>
      </w:tc>
    </w:tr>
    <w:tr>
      <w:tblPrEx>
        <w:tblCellMar>
          <w:top w:w="0" w:type="dxa"/>
          <w:bottom w:w="0" w:type="dxa"/>
        </w:tblCellMar>
      </w:tblPrEx>
      <w:trPr>
        <w:cantSplit/>
        <w:trHeight w:hRule="exact" w:val="284"/>
      </w:trPr>
      <w:tc>
        <w:tcPr>
          <w:tcW w:w="964" w:type="dxa"/>
          <w:gridSpan w:val="2"/>
          <w:tcBorders>
            <w:top w:val="nil"/>
            <w:left w:val="nil"/>
            <w:right w:val="single" w:sz="18" w:space="0" w:color="auto"/>
          </w:tcBorders>
          <w:vAlign w:val="center"/>
        </w:tcPr>
        <w:p>
          <w:pPr>
            <w:spacing w:before="0" w:after="0" w:line="240" w:lineRule="auto"/>
            <w:ind w:firstLine="0" w:left="0"/>
            <w:rPr>
              <w:rFonts w:ascii="Times New Roman" w:hAnsi="Times New Roman"/>
              <w:sz w:val="17"/>
            </w:rPr>
          </w:pPr>
          <w:r>
            <w:rPr>
              <w:rFonts w:ascii="Arial" w:hAnsi="Arial" w:cs="Arial" w:eastAsia="Arial"/>
              <w:i/>
              <w:sz w:val="17"/>
            </w:rPr>
            <w:t>Разраб</w:t>
          </w:r>
        </w:p>
      </w:tc>
      <w:tc>
        <w:tcPr>
          <w:tcW w:w="1304" w:type="dxa"/>
          <w:tcBorders>
            <w:top w:val="nil"/>
            <w:left w:val="nil"/>
            <w:right w:val="nil"/>
          </w:tcBorders>
          <w:vAlign w:val="center"/>
        </w:tcPr>
        <w:p>
          <w:pPr>
            <w:spacing w:before="0" w:after="0" w:line="240" w:lineRule="auto"/>
            <w:ind w:firstLine="0" w:left="0"/>
            <w:rPr>
              <w:sz w:val="20"/>
              <w:lang w:val="ru-RU"/>
            </w:rPr>
            <w:jc w:val="left"/>
          </w:pPr>
          <w:r>
            <w:rPr>
              <w:rFonts w:ascii="Arial" w:hAnsi="Arial" w:cs="Arial" w:eastAsia="Arial"/>
              <w:i/>
              <w:sz w:val="18"/>
              <w:szCs w:val="18"/>
            </w:rPr>
            <w:t xml:space="preserve">Беляков А.М.</w:t>
          </w:r>
        </w:p>
      </w:tc>
      <w:tc>
        <w:tcPr>
          <w:tcW w:w="851" w:type="dxa"/>
          <w:tcBorders>
            <w:top w:val="nil"/>
            <w:left w:val="single" w:sz="18" w:space="0" w:color="auto"/>
            <w:right w:val="single" w:sz="18" w:space="0" w:color="auto"/>
          </w:tcBorders>
          <w:vAlign w:val="center"/>
        </w:tcPr>
        <w:p>
          <w:pPr>
            <w:spacing w:before="0" w:after="0" w:line="240" w:lineRule="auto"/>
            <w:ind w:firstLine="0" w:left="0"/>
            <w:rPr>
              <w:sz w:val="18"/>
            </w:rPr>
          </w:pPr>
        </w:p>
      </w:tc>
      <w:tc>
        <w:tcPr>
          <w:tcW w:w="567" w:type="dxa"/>
          <w:tcBorders>
            <w:top w:val="nil"/>
            <w:left w:val="nil"/>
            <w:right w:val="single" w:sz="18" w:space="0" w:color="auto"/>
          </w:tcBorders>
          <w:vAlign w:val="center"/>
        </w:tcPr>
        <w:p>
          <w:pPr>
            <w:spacing w:before="0" w:after="0" w:line="240" w:lineRule="auto"/>
            <w:ind w:firstLine="0" w:left="0"/>
            <w:rPr>
              <w:sz w:val="18"/>
            </w:rPr>
          </w:pPr>
        </w:p>
      </w:tc>
      <w:tc>
        <w:tcPr>
          <w:tcW w:w="4109" w:type="dxa"/>
          <w:vMerge w:val="restart"/>
          <w:tcBorders>
            <w:top w:val="nil"/>
            <w:left w:val="nil"/>
            <w:bottom w:val="single" w:sz="18" w:space="0" w:color="auto"/>
            <w:right w:val="single" w:sz="18" w:space="0" w:color="auto"/>
          </w:tcBorders>
          <w:vAlign w:val="center"/>
        </w:tcPr>
        <w:p>
          <w:pPr>
            <w:spacing w:before="0" w:after="0" w:line="240" w:lineRule="auto"/>
            <w:ind w:firstLine="0" w:left="0"/>
            <w:rPr>
              <w:szCs w:val="28"/>
              <w:lang w:val="ru-RU"/>
            </w:rPr>
            <w:jc w:val="center"/>
          </w:pPr>
          <w:r>
            <w:rPr>
              <w:rFonts w:ascii="Arial" w:hAnsi="Arial" w:cs="Arial" w:eastAsia="Arial"/>
              <w:i/>
              <w:sz w:val="24"/>
              <w:szCs w:val="24"/>
            </w:rPr>
            <w:t xml:space="preserve">Пояснительная записка к дипломной работе</w:t>
          </w:r>
        </w:p>
      </w:tc>
      <w:tc>
        <w:tcPr>
          <w:tcW w:w="852" w:type="dxa"/>
          <w:gridSpan w:val="3"/>
          <w:tcBorders>
            <w:top w:val="nil"/>
            <w:left w:val="nil"/>
            <w:bottom w:val="single" w:sz="18" w:space="0" w:color="auto"/>
            <w:right w:val="single" w:sz="18" w:space="0" w:color="auto"/>
          </w:tcBorders>
          <w:vAlign w:val="center"/>
        </w:tcPr>
        <w:p>
          <w:pPr>
            <w:spacing w:before="0" w:after="0" w:line="240" w:lineRule="auto"/>
            <w:ind w:firstLine="0" w:left="0"/>
            <w:jc w:val="center"/>
            <w:rPr>
              <w:rFonts w:ascii="Times New Roman" w:hAnsi="Times New Roman"/>
              <w:sz w:val="17"/>
              <w:lang w:val="ru-RU"/>
            </w:rPr>
          </w:pPr>
          <w:r>
            <w:rPr>
              <w:rFonts w:ascii="Arial" w:hAnsi="Arial" w:cs="Arial" w:eastAsia="Arial"/>
              <w:i/>
              <w:sz w:val="17"/>
            </w:rPr>
            <w:t>Лит</w:t>
          </w:r>
          <w:r>
            <w:rPr>
              <w:rFonts w:ascii="Arial" w:hAnsi="Arial" w:cs="Arial" w:eastAsia="Arial"/>
              <w:i/>
              <w:sz w:val="17"/>
              <w:lang w:val="ru-RU"/>
            </w:rPr>
            <w:t>ера</w:t>
          </w:r>
        </w:p>
      </w:tc>
      <w:tc>
        <w:tcPr>
          <w:tcW w:w="851" w:type="dxa"/>
          <w:tcBorders>
            <w:top w:val="nil"/>
            <w:left w:val="single" w:sz="18" w:space="0" w:color="auto"/>
            <w:bottom w:val="single" w:sz="18"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Лист</w:t>
          </w:r>
        </w:p>
      </w:tc>
      <w:tc>
        <w:tcPr>
          <w:tcW w:w="990" w:type="dxa"/>
          <w:tcBorders>
            <w:top w:val="nil"/>
            <w:left w:val="single" w:sz="18" w:space="0" w:color="auto"/>
            <w:bottom w:val="single" w:sz="18" w:space="0" w:color="auto"/>
            <w:right w:val="nil"/>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Листов</w:t>
          </w:r>
        </w:p>
      </w:tc>
    </w:tr>
    <w:tr>
      <w:tblPrEx>
        <w:tblCellMar>
          <w:top w:w="0" w:type="dxa"/>
          <w:bottom w:w="0" w:type="dxa"/>
        </w:tblCellMar>
      </w:tblPrEx>
      <w:trPr>
        <w:cantSplit/>
        <w:trHeight w:hRule="exact" w:val="284"/>
      </w:trPr>
      <w:tc>
        <w:tcPr>
          <w:tcW w:w="964" w:type="dxa"/>
          <w:gridSpan w:val="2"/>
          <w:tcBorders>
            <w:left w:val="nil"/>
            <w:right w:val="single" w:sz="18" w:space="0" w:color="auto"/>
          </w:tcBorders>
          <w:vAlign w:val="center"/>
        </w:tcPr>
        <w:p>
          <w:pPr>
            <w:spacing w:before="0" w:after="0" w:line="240" w:lineRule="auto"/>
            <w:ind w:firstLine="0" w:left="0"/>
            <w:rPr>
              <w:rFonts w:ascii="Times New Roman" w:hAnsi="Times New Roman"/>
              <w:sz w:val="17"/>
            </w:rPr>
          </w:pPr>
          <w:r>
            <w:rPr>
              <w:rFonts w:ascii="Arial" w:hAnsi="Arial" w:cs="Arial" w:eastAsia="Arial"/>
              <w:i/>
              <w:sz w:val="17"/>
            </w:rPr>
            <w:t>Пров</w:t>
          </w:r>
        </w:p>
      </w:tc>
      <w:tc>
        <w:tcPr>
          <w:tcW w:w="1304" w:type="dxa"/>
          <w:tcBorders>
            <w:left w:val="nil"/>
            <w:right w:val="nil"/>
          </w:tcBorders>
          <w:vAlign w:val="center"/>
        </w:tcPr>
        <w:p>
          <w:pPr>
            <w:spacing w:before="0" w:after="0" w:line="240" w:lineRule="auto"/>
            <w:ind w:firstLine="0" w:left="0"/>
            <w:rPr>
              <w:sz w:val="20"/>
              <w:lang w:val="ru-RU"/>
            </w:rPr>
            <w:jc w:val="left"/>
          </w:pPr>
          <w:r>
            <w:rPr>
              <w:rFonts w:ascii="Arial" w:hAnsi="Arial" w:cs="Arial" w:eastAsia="Arial"/>
              <w:i/>
              <w:sz w:val="18"/>
              <w:szCs w:val="18"/>
            </w:rPr>
            <w:t xml:space="preserve">Рощин А.Б.</w:t>
          </w:r>
        </w:p>
      </w:tc>
      <w:tc>
        <w:tcPr>
          <w:tcW w:w="851" w:type="dxa"/>
          <w:tcBorders>
            <w:left w:val="single" w:sz="18" w:space="0" w:color="auto"/>
            <w:right w:val="single" w:sz="18" w:space="0" w:color="auto"/>
          </w:tcBorders>
          <w:vAlign w:val="center"/>
        </w:tcPr>
        <w:p>
          <w:pPr>
            <w:spacing w:before="0" w:after="0" w:line="240" w:lineRule="auto"/>
            <w:ind w:firstLine="0" w:left="0"/>
            <w:rPr>
              <w:sz w:val="18"/>
            </w:rPr>
          </w:pPr>
        </w:p>
      </w:tc>
      <w:tc>
        <w:tcPr>
          <w:tcW w:w="567" w:type="dxa"/>
          <w:tcBorders>
            <w:left w:val="nil"/>
            <w:right w:val="single" w:sz="18" w:space="0" w:color="auto"/>
          </w:tcBorders>
          <w:vAlign w:val="center"/>
        </w:tcPr>
        <w:p>
          <w:pPr>
            <w:spacing w:before="0" w:after="0" w:line="240" w:lineRule="auto"/>
            <w:ind w:firstLine="0" w:left="0"/>
            <w:rPr>
              <w:sz w:val="18"/>
            </w:rPr>
          </w:pPr>
        </w:p>
      </w:tc>
      <w:tc>
        <w:tcPr>
          <w:tcW w:w="4109" w:type="dxa"/>
          <w:vMerge/>
          <w:tcBorders>
            <w:left w:val="nil"/>
            <w:right w:val="single" w:sz="18" w:space="0" w:color="auto"/>
          </w:tcBorders>
          <w:vAlign w:val="center"/>
        </w:tcPr>
        <w:p>
          <w:pPr>
            <w:spacing w:before="0" w:after="0" w:line="240" w:lineRule="auto"/>
            <w:ind w:firstLine="0" w:left="0"/>
            <w:rPr>
              <w:sz w:val="18"/>
            </w:rPr>
          </w:pPr>
        </w:p>
      </w:tc>
      <w:tc>
        <w:tcPr>
          <w:tcW w:w="284" w:type="dxa"/>
          <w:tcBorders>
            <w:left w:val="nil"/>
            <w:bottom w:val="single" w:sz="18" w:space="0" w:color="auto"/>
          </w:tcBorders>
          <w:vAlign w:val="center"/>
        </w:tcPr>
        <w:p>
          <w:pPr>
            <w:spacing w:before="0" w:after="0" w:line="240" w:lineRule="auto"/>
            <w:ind w:firstLine="0" w:left="0"/>
            <w:rPr>
              <w:sz w:val="18"/>
            </w:rPr>
          </w:pPr>
        </w:p>
      </w:tc>
      <w:tc>
        <w:tcPr>
          <w:tcW w:w="284" w:type="dxa"/>
          <w:tcBorders>
            <w:bottom w:val="single" w:sz="18" w:space="0" w:color="auto"/>
          </w:tcBorders>
          <w:vAlign w:val="center"/>
        </w:tcPr>
        <w:p>
          <w:pPr>
            <w:spacing w:before="0" w:after="0" w:line="240" w:lineRule="auto"/>
            <w:ind w:firstLine="0" w:left="0"/>
            <w:rPr>
              <w:sz w:val="18"/>
              <w:lang w:val="ru-RU"/>
            </w:rPr>
            <w:jc w:val="center"/>
          </w:pPr>
          <w:r>
            <w:rPr>
              <w:rFonts w:ascii="Arial" w:hAnsi="Arial" w:cs="Arial" w:eastAsia="Arial"/>
              <w:i/>
              <w:sz w:val="18"/>
              <w:szCs w:val="18"/>
            </w:rPr>
            <w:t xml:space="preserve">У</w:t>
          </w:r>
        </w:p>
      </w:tc>
      <w:tc>
        <w:tcPr>
          <w:tcW w:w="284" w:type="dxa"/>
          <w:tcBorders>
            <w:bottom w:val="single" w:sz="18" w:space="0" w:color="auto"/>
            <w:right w:val="single" w:sz="18" w:space="0" w:color="auto"/>
          </w:tcBorders>
          <w:vAlign w:val="center"/>
        </w:tcPr>
        <w:p>
          <w:pPr>
            <w:spacing w:before="0" w:after="0" w:line="240" w:lineRule="auto"/>
            <w:ind w:firstLine="0" w:left="0"/>
            <w:rPr>
              <w:sz w:val="18"/>
            </w:rPr>
          </w:pPr>
        </w:p>
      </w:tc>
      <w:tc>
        <w:tcPr>
          <w:tcW w:w="851" w:type="dxa"/>
          <w:tcBorders>
            <w:left w:val="single" w:sz="18" w:space="0" w:color="auto"/>
            <w:bottom w:val="single" w:sz="18" w:space="0" w:color="auto"/>
            <w:right w:val="single" w:sz="18" w:space="0" w:color="auto"/>
          </w:tcBorders>
          <w:vAlign w:val="center"/>
        </w:tcPr>
        <w:p>
          <w:pPr>
            <w:spacing w:before="0" w:after="0" w:line="240" w:lineRule="auto"/>
            <w:ind w:firstLine="0" w:left="0"/>
            <w:rPr>
              <w:sz w:val="18"/>
              <w:lang w:val="ru-RU"/>
            </w:rPr>
            <w:jc w:val="center"/>
          </w:pPr>
          <w:r>
            <w:rPr>
              <w:rFonts w:ascii="Arial" w:hAnsi="Arial" w:cs="Arial" w:eastAsia="Arial"/>
              <w:i/>
              <w:sz w:val="18"/>
              <w:szCs w:val="18"/>
            </w:rPr>
            <w:fldChar w:fldCharType="begin"/>
          </w:r>
          <w:r>
            <w:rPr>
              <w:rFonts w:ascii="Arial" w:hAnsi="Arial" w:cs="Arial" w:eastAsia="Arial"/>
              <w:i/>
              <w:sz w:val="18"/>
              <w:szCs w:val="18"/>
            </w:rPr>
            <w:instrText xml:space="preserve"> PAGE </w:instrText>
          </w:r>
          <w:r>
            <w:rPr>
              <w:rFonts w:ascii="Arial" w:hAnsi="Arial" w:cs="Arial" w:eastAsia="Arial"/>
              <w:i/>
              <w:sz w:val="18"/>
              <w:szCs w:val="18"/>
            </w:rPr>
            <w:fldChar w:fldCharType="end"/>
          </w:r>
        </w:p>
      </w:tc>
      <w:tc>
        <w:tcPr>
          <w:tcW w:w="990" w:type="dxa"/>
          <w:tcBorders>
            <w:left w:val="single" w:sz="18" w:space="0" w:color="auto"/>
            <w:bottom w:val="single" w:sz="18" w:space="0" w:color="auto"/>
            <w:right w:val="nil"/>
          </w:tcBorders>
          <w:vAlign w:val="center"/>
        </w:tcPr>
        <w:p>
          <w:pPr>
            <w:spacing w:before="0" w:after="0" w:line="240" w:lineRule="auto"/>
            <w:ind w:firstLine="0" w:left="0"/>
            <w:rPr>
              <w:sz w:val="18"/>
              <w:lang w:val="ru-RU"/>
            </w:rPr>
            <w:jc w:val="center"/>
          </w:pPr>
          <w:r>
            <w:rPr>
              <w:rFonts w:ascii="Arial" w:hAnsi="Arial" w:cs="Arial" w:eastAsia="Arial"/>
              <w:i/>
              <w:sz w:val="18"/>
              <w:szCs w:val="18"/>
            </w:rPr>
            <w:t xml:space="preserve">107</w:t>
          </w:r>
        </w:p>
      </w:tc>
    </w:tr>
    <w:tr>
      <w:tblPrEx>
        <w:tblCellMar>
          <w:top w:w="0" w:type="dxa"/>
          <w:bottom w:w="0" w:type="dxa"/>
        </w:tblCellMar>
      </w:tblPrEx>
      <w:trPr>
        <w:cantSplit/>
        <w:trHeight w:hRule="exact" w:val="284"/>
      </w:trPr>
      <w:tc>
        <w:tcPr>
          <w:tcW w:w="964" w:type="dxa"/>
          <w:gridSpan w:val="2"/>
          <w:tcBorders>
            <w:left w:val="nil"/>
            <w:right w:val="single" w:sz="18" w:space="0" w:color="auto"/>
          </w:tcBorders>
          <w:vAlign w:val="center"/>
        </w:tcPr>
        <w:p>
          <w:pPr>
            <w:spacing w:before="0" w:after="0" w:line="240" w:lineRule="auto"/>
            <w:ind w:firstLine="0" w:left="0"/>
            <w:rPr>
              <w:rFonts w:ascii="Times New Roman" w:hAnsi="Times New Roman"/>
              <w:sz w:val="17"/>
            </w:rPr>
          </w:pPr>
        </w:p>
      </w:tc>
      <w:tc>
        <w:tcPr>
          <w:tcW w:w="1304" w:type="dxa"/>
          <w:tcBorders>
            <w:left w:val="nil"/>
            <w:right w:val="nil"/>
          </w:tcBorders>
          <w:vAlign w:val="center"/>
        </w:tcPr>
        <w:p>
          <w:pPr>
            <w:spacing w:before="0" w:after="0" w:line="240" w:lineRule="auto"/>
            <w:ind w:firstLine="0" w:left="0"/>
            <w:rPr>
              <w:sz w:val="18"/>
            </w:rPr>
          </w:pPr>
        </w:p>
      </w:tc>
      <w:tc>
        <w:tcPr>
          <w:tcW w:w="851" w:type="dxa"/>
          <w:tcBorders>
            <w:left w:val="single" w:sz="18" w:space="0" w:color="auto"/>
            <w:right w:val="single" w:sz="18" w:space="0" w:color="auto"/>
          </w:tcBorders>
          <w:vAlign w:val="center"/>
        </w:tcPr>
        <w:p>
          <w:pPr>
            <w:spacing w:before="0" w:after="0" w:line="240" w:lineRule="auto"/>
            <w:ind w:firstLine="0" w:left="0"/>
            <w:rPr>
              <w:sz w:val="18"/>
            </w:rPr>
          </w:pPr>
        </w:p>
      </w:tc>
      <w:tc>
        <w:tcPr>
          <w:tcW w:w="567" w:type="dxa"/>
          <w:tcBorders>
            <w:left w:val="nil"/>
            <w:right w:val="single" w:sz="18" w:space="0" w:color="auto"/>
          </w:tcBorders>
          <w:vAlign w:val="center"/>
        </w:tcPr>
        <w:p>
          <w:pPr>
            <w:spacing w:before="0" w:after="0" w:line="240" w:lineRule="auto"/>
            <w:ind w:firstLine="0" w:left="0"/>
            <w:rPr>
              <w:sz w:val="18"/>
            </w:rPr>
          </w:pPr>
        </w:p>
      </w:tc>
      <w:tc>
        <w:tcPr>
          <w:tcW w:w="4109" w:type="dxa"/>
          <w:vMerge/>
          <w:tcBorders>
            <w:left w:val="nil"/>
            <w:right w:val="single" w:sz="18" w:space="0" w:color="auto"/>
          </w:tcBorders>
          <w:vAlign w:val="center"/>
        </w:tcPr>
        <w:p>
          <w:pPr>
            <w:spacing w:before="0" w:after="0" w:line="240" w:lineRule="auto"/>
            <w:ind w:firstLine="0" w:left="0"/>
            <w:rPr>
              <w:sz w:val="18"/>
            </w:rPr>
          </w:pPr>
        </w:p>
      </w:tc>
      <w:tc>
        <w:tcPr>
          <w:tcW w:w="2693" w:type="dxa"/>
          <w:gridSpan w:val="5"/>
          <w:vMerge w:val="restart"/>
          <w:tcBorders>
            <w:top w:val="single" w:sz="18" w:space="0" w:color="auto"/>
            <w:left w:val="nil"/>
            <w:right w:val="nil"/>
          </w:tcBorders>
          <w:vAlign w:val="center"/>
        </w:tcPr>
        <w:p>
          <w:pPr>
            <w:spacing w:before="0" w:after="0" w:line="240" w:lineRule="auto"/>
            <w:ind w:firstLine="0" w:left="0"/>
            <w:rPr>
              <w:sz w:val="24"/>
              <w:lang w:val="ru-RU"/>
            </w:rPr>
            <w:jc w:val="center"/>
          </w:pPr>
          <w:r>
            <w:rPr>
              <w:rFonts w:ascii="Arial" w:hAnsi="Arial" w:cs="Arial" w:eastAsia="Arial"/>
              <w:i/>
              <w:sz w:val="28"/>
              <w:szCs w:val="28"/>
            </w:rPr>
            <w:t xml:space="preserve">МАИ М4О-03С-21</w:t>
          </w:r>
        </w:p>
      </w:tc>
    </w:tr>
    <w:tr>
      <w:tblPrEx>
        <w:tblCellMar>
          <w:top w:w="0" w:type="dxa"/>
          <w:bottom w:w="0" w:type="dxa"/>
        </w:tblCellMar>
      </w:tblPrEx>
      <w:trPr>
        <w:cantSplit/>
        <w:trHeight w:hRule="exact" w:val="284"/>
      </w:trPr>
      <w:tc>
        <w:tcPr>
          <w:tcW w:w="964" w:type="dxa"/>
          <w:gridSpan w:val="2"/>
          <w:tcBorders>
            <w:left w:val="nil"/>
            <w:right w:val="single" w:sz="18" w:space="0" w:color="auto"/>
          </w:tcBorders>
          <w:vAlign w:val="center"/>
        </w:tcPr>
        <w:p>
          <w:pPr>
            <w:spacing w:before="0" w:after="0" w:line="240" w:lineRule="auto"/>
            <w:ind w:firstLine="0" w:left="0"/>
            <w:rPr>
              <w:rFonts w:ascii="Times New Roman" w:hAnsi="Times New Roman"/>
              <w:sz w:val="17"/>
            </w:rPr>
          </w:pPr>
          <w:r>
            <w:rPr>
              <w:rFonts w:ascii="Arial" w:hAnsi="Arial" w:cs="Arial" w:eastAsia="Arial"/>
              <w:i/>
              <w:sz w:val="17"/>
            </w:rPr>
            <w:t>Н. Контр.</w:t>
          </w:r>
        </w:p>
      </w:tc>
      <w:tc>
        <w:tcPr>
          <w:tcW w:w="1304" w:type="dxa"/>
          <w:tcBorders>
            <w:left w:val="nil"/>
            <w:right w:val="nil"/>
          </w:tcBorders>
          <w:vAlign w:val="center"/>
        </w:tcPr>
        <w:p>
          <w:pPr>
            <w:spacing w:before="0" w:after="0" w:line="240" w:lineRule="auto"/>
            <w:ind w:firstLine="0" w:left="0"/>
            <w:rPr>
              <w:sz w:val="18"/>
            </w:rPr>
            <w:jc w:val="left"/>
          </w:pPr>
          <w:r>
            <w:rPr>
              <w:rFonts w:ascii="Arial" w:hAnsi="Arial" w:cs="Arial" w:eastAsia="Arial"/>
              <w:i/>
              <w:sz w:val="18"/>
              <w:szCs w:val="18"/>
            </w:rPr>
            <w:t xml:space="preserve"/>
          </w:r>
        </w:p>
      </w:tc>
      <w:tc>
        <w:tcPr>
          <w:tcW w:w="851" w:type="dxa"/>
          <w:tcBorders>
            <w:left w:val="single" w:sz="18" w:space="0" w:color="auto"/>
            <w:right w:val="single" w:sz="18" w:space="0" w:color="auto"/>
          </w:tcBorders>
          <w:vAlign w:val="center"/>
        </w:tcPr>
        <w:p>
          <w:pPr>
            <w:spacing w:before="0" w:after="0" w:line="240" w:lineRule="auto"/>
            <w:ind w:firstLine="0" w:left="0"/>
            <w:rPr>
              <w:sz w:val="18"/>
            </w:rPr>
          </w:pPr>
        </w:p>
      </w:tc>
      <w:tc>
        <w:tcPr>
          <w:tcW w:w="567" w:type="dxa"/>
          <w:tcBorders>
            <w:left w:val="nil"/>
            <w:right w:val="single" w:sz="18" w:space="0" w:color="auto"/>
          </w:tcBorders>
          <w:vAlign w:val="center"/>
        </w:tcPr>
        <w:p>
          <w:pPr>
            <w:spacing w:before="0" w:after="0" w:line="240" w:lineRule="auto"/>
            <w:ind w:firstLine="0" w:left="0"/>
            <w:rPr>
              <w:sz w:val="18"/>
            </w:rPr>
          </w:pPr>
        </w:p>
      </w:tc>
      <w:tc>
        <w:tcPr>
          <w:tcW w:w="4109" w:type="dxa"/>
          <w:vMerge/>
          <w:tcBorders>
            <w:left w:val="nil"/>
            <w:right w:val="single" w:sz="18" w:space="0" w:color="auto"/>
          </w:tcBorders>
          <w:vAlign w:val="center"/>
        </w:tcPr>
        <w:p>
          <w:pPr>
            <w:spacing w:before="0" w:after="0" w:line="240" w:lineRule="auto"/>
            <w:ind w:firstLine="0" w:left="0"/>
            <w:rPr>
              <w:sz w:val="18"/>
            </w:rPr>
          </w:pPr>
        </w:p>
      </w:tc>
      <w:tc>
        <w:tcPr>
          <w:tcW w:w="2693" w:type="dxa"/>
          <w:gridSpan w:val="5"/>
          <w:vMerge/>
          <w:tcBorders>
            <w:left w:val="nil"/>
            <w:right w:val="nil"/>
          </w:tcBorders>
          <w:vAlign w:val="center"/>
        </w:tcPr>
        <w:p>
          <w:pPr>
            <w:spacing w:before="0" w:after="0" w:line="240" w:lineRule="auto"/>
            <w:ind w:firstLine="0" w:left="0"/>
            <w:rPr>
              <w:sz w:val="18"/>
            </w:rPr>
          </w:pPr>
        </w:p>
      </w:tc>
    </w:tr>
    <w:tr>
      <w:tblPrEx>
        <w:tblCellMar>
          <w:top w:w="0" w:type="dxa"/>
          <w:bottom w:w="0" w:type="dxa"/>
        </w:tblCellMar>
      </w:tblPrEx>
      <w:trPr>
        <w:cantSplit/>
        <w:trHeight w:hRule="exact" w:val="284"/>
      </w:trPr>
      <w:tc>
        <w:tcPr>
          <w:tcW w:w="964" w:type="dxa"/>
          <w:gridSpan w:val="2"/>
          <w:tcBorders>
            <w:left w:val="nil"/>
            <w:bottom w:val="nil"/>
            <w:right w:val="single" w:sz="18" w:space="0" w:color="auto"/>
          </w:tcBorders>
          <w:vAlign w:val="center"/>
        </w:tcPr>
        <w:p>
          <w:pPr>
            <w:spacing w:before="0" w:after="0" w:line="240" w:lineRule="auto"/>
            <w:ind w:firstLine="0" w:left="0"/>
            <w:rPr>
              <w:rFonts w:ascii="Times New Roman" w:hAnsi="Times New Roman"/>
              <w:sz w:val="17"/>
              <w:lang w:val="ru-RU"/>
            </w:rPr>
          </w:pPr>
          <w:r>
            <w:rPr>
              <w:rFonts w:ascii="Arial" w:hAnsi="Arial" w:cs="Arial" w:eastAsia="Arial"/>
              <w:i/>
              <w:sz w:val="17"/>
            </w:rPr>
            <w:t>Ут</w:t>
          </w:r>
          <w:r>
            <w:rPr>
              <w:rFonts w:ascii="Arial" w:hAnsi="Arial" w:cs="Arial" w:eastAsia="Arial"/>
              <w:i/>
              <w:sz w:val="17"/>
              <w:lang w:val="ru-RU"/>
            </w:rPr>
            <w:t>в</w:t>
          </w:r>
        </w:p>
      </w:tc>
      <w:tc>
        <w:tcPr>
          <w:tcW w:w="1304" w:type="dxa"/>
          <w:tcBorders>
            <w:left w:val="nil"/>
            <w:bottom w:val="nil"/>
            <w:right w:val="nil"/>
          </w:tcBorders>
          <w:vAlign w:val="center"/>
        </w:tcPr>
        <w:p>
          <w:pPr>
            <w:spacing w:before="0" w:after="0" w:line="240" w:lineRule="auto"/>
            <w:ind w:firstLine="0" w:left="0"/>
            <w:rPr>
              <w:sz w:val="18"/>
            </w:rPr>
            <w:jc w:val="left"/>
          </w:pPr>
          <w:r>
            <w:rPr>
              <w:rFonts w:ascii="Arial" w:hAnsi="Arial" w:cs="Arial" w:eastAsia="Arial"/>
              <w:i/>
              <w:sz w:val="18"/>
              <w:szCs w:val="18"/>
            </w:rPr>
            <w:t xml:space="preserve">Мазепа Р.Б.</w:t>
          </w:r>
        </w:p>
      </w:tc>
      <w:tc>
        <w:tcPr>
          <w:tcW w:w="851" w:type="dxa"/>
          <w:tcBorders>
            <w:left w:val="single" w:sz="18" w:space="0" w:color="auto"/>
            <w:bottom w:val="nil"/>
            <w:right w:val="single" w:sz="18" w:space="0" w:color="auto"/>
          </w:tcBorders>
          <w:vAlign w:val="center"/>
        </w:tcPr>
        <w:p>
          <w:pPr>
            <w:spacing w:before="0" w:after="0" w:line="240" w:lineRule="auto"/>
            <w:ind w:firstLine="0" w:left="0"/>
            <w:rPr>
              <w:sz w:val="18"/>
            </w:rPr>
          </w:pPr>
        </w:p>
      </w:tc>
      <w:tc>
        <w:tcPr>
          <w:tcW w:w="567" w:type="dxa"/>
          <w:tcBorders>
            <w:left w:val="nil"/>
            <w:bottom w:val="nil"/>
            <w:right w:val="single" w:sz="18" w:space="0" w:color="auto"/>
          </w:tcBorders>
          <w:vAlign w:val="center"/>
        </w:tcPr>
        <w:p>
          <w:pPr>
            <w:spacing w:before="0" w:after="0" w:line="240" w:lineRule="auto"/>
            <w:ind w:firstLine="0" w:left="0"/>
            <w:rPr>
              <w:sz w:val="18"/>
            </w:rPr>
          </w:pPr>
        </w:p>
      </w:tc>
      <w:tc>
        <w:tcPr>
          <w:tcW w:w="4109" w:type="dxa"/>
          <w:vMerge/>
          <w:tcBorders>
            <w:left w:val="nil"/>
            <w:bottom w:val="nil"/>
            <w:right w:val="single" w:sz="18" w:space="0" w:color="auto"/>
          </w:tcBorders>
          <w:vAlign w:val="center"/>
        </w:tcPr>
        <w:p>
          <w:pPr>
            <w:spacing w:before="0" w:after="0" w:line="240" w:lineRule="auto"/>
            <w:ind w:firstLine="0" w:left="0"/>
            <w:rPr>
              <w:sz w:val="18"/>
            </w:rPr>
          </w:pPr>
        </w:p>
      </w:tc>
      <w:tc>
        <w:tcPr>
          <w:tcW w:w="2693" w:type="dxa"/>
          <w:gridSpan w:val="5"/>
          <w:vMerge/>
          <w:tcBorders>
            <w:left w:val="nil"/>
            <w:bottom w:val="nil"/>
            <w:right w:val="nil"/>
          </w:tcBorders>
          <w:vAlign w:val="center"/>
        </w:tcPr>
        <w:p>
          <w:pPr>
            <w:spacing w:before="0" w:after="0" w:line="240" w:lineRule="auto"/>
            <w:ind w:firstLine="0" w:left="0"/>
            <w:rPr>
              <w:sz w:val="18"/>
            </w:rPr>
          </w:pPr>
        </w:p>
      </w:tc>
    </w:tr>
  </w:tbl>
  <w:p>
    <w:pPr>
      <w:spacing w:before="0" w:after="0" w:line="20" w:lineRule="exact"/>
      <w:ind w:firstLine="0"/>
      <w:rPr>
        <w:sz w:val="2"/>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170" w:lineRule="exact"/>
      <w:ind w:firstLine="0"/>
      <w:rPr>
        <w:sz w:val="2"/>
      </w:rPr>
    </w:pPr>
  </w:p>
  <w:tbl xmlns:cx="http://schemas.microsoft.com/office/drawing/2014/chartex" xmlns:cx1="http://schemas.microsoft.com/office/drawing/2015/9/8/chartex" xmlns:w15="http://schemas.microsoft.com/office/word/2012/wordml" xmlns:w16se="http://schemas.microsoft.com/office/word/2015/wordml/symex">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Ind w:w="-567" w:type="dxa"/>
    </w:tblPr>
    <w:tblGrid>
      <w:gridCol w:w="397"/>
      <w:gridCol w:w="567"/>
      <w:gridCol w:w="1304"/>
      <w:gridCol w:w="851"/>
      <w:gridCol w:w="567"/>
      <w:gridCol w:w="6235"/>
      <w:gridCol w:w="567"/>
    </w:tblGrid>
    <w:tr>
      <w:tblPrEx>
        <w:tblCellMar>
          <w:top w:w="0" w:type="dxa"/>
          <w:bottom w:w="0" w:type="dxa"/>
        </w:tblCellMar>
      </w:tblPrEx>
      <w:trPr>
        <w:cantSplit/>
        <w:trHeight w:hRule="exact" w:val="284"/>
      </w:trPr>
      <w:tc>
        <w:tcPr>
          <w:tcW w:w="397" w:type="dxa"/>
          <w:tcBorders>
            <w:top w:val="single" w:sz="18" w:space="0" w:color="auto"/>
            <w:left w:val="nil"/>
            <w:right w:val="single" w:sz="18" w:space="0" w:color="auto"/>
          </w:tcBorders>
          <w:vAlign w:val="center"/>
        </w:tcPr>
        <w:p>
          <w:pPr>
            <w:spacing w:before="0" w:after="0" w:line="240" w:lineRule="auto"/>
            <w:ind w:firstLine="0" w:left="0"/>
            <w:rPr>
              <w:sz w:val="18"/>
            </w:rPr>
          </w:pPr>
        </w:p>
      </w:tc>
      <w:tc>
        <w:tcPr>
          <w:tcW w:w="567" w:type="dxa"/>
          <w:tcBorders>
            <w:top w:val="single" w:sz="18" w:space="0" w:color="auto"/>
            <w:left w:val="nil"/>
            <w:right w:val="single" w:sz="18" w:space="0" w:color="auto"/>
          </w:tcBorders>
          <w:vAlign w:val="center"/>
        </w:tcPr>
        <w:p>
          <w:pPr>
            <w:spacing w:before="0" w:after="0" w:line="240" w:lineRule="auto"/>
            <w:ind w:firstLine="0" w:left="0"/>
            <w:rPr>
              <w:sz w:val="18"/>
            </w:rPr>
          </w:pPr>
        </w:p>
      </w:tc>
      <w:tc>
        <w:tcPr>
          <w:tcW w:w="1304" w:type="dxa"/>
          <w:tcBorders>
            <w:top w:val="single" w:sz="18" w:space="0" w:color="auto"/>
            <w:left w:val="nil"/>
            <w:right w:val="nil"/>
          </w:tcBorders>
          <w:vAlign w:val="center"/>
        </w:tcPr>
        <w:p>
          <w:pPr>
            <w:spacing w:before="0" w:after="0" w:line="240" w:lineRule="auto"/>
            <w:ind w:firstLine="0" w:left="0"/>
            <w:rPr>
              <w:sz w:val="18"/>
            </w:rPr>
          </w:pPr>
        </w:p>
      </w:tc>
      <w:tc>
        <w:tcPr>
          <w:tcW w:w="851" w:type="dxa"/>
          <w:tcBorders>
            <w:top w:val="single" w:sz="18" w:space="0" w:color="auto"/>
            <w:left w:val="single" w:sz="18" w:space="0" w:color="auto"/>
            <w:right w:val="single" w:sz="18" w:space="0" w:color="auto"/>
          </w:tcBorders>
          <w:vAlign w:val="center"/>
        </w:tcPr>
        <w:p>
          <w:pPr>
            <w:spacing w:before="0" w:after="0" w:line="240" w:lineRule="auto"/>
            <w:ind w:firstLine="0" w:left="0"/>
            <w:rPr>
              <w:sz w:val="18"/>
            </w:rPr>
          </w:pPr>
        </w:p>
      </w:tc>
      <w:tc>
        <w:tcPr>
          <w:tcW w:w="567" w:type="dxa"/>
          <w:tcBorders>
            <w:top w:val="single" w:sz="18" w:space="0" w:color="auto"/>
            <w:left w:val="nil"/>
            <w:right w:val="single" w:sz="18" w:space="0" w:color="auto"/>
          </w:tcBorders>
          <w:vAlign w:val="center"/>
        </w:tcPr>
        <w:p>
          <w:pPr>
            <w:spacing w:before="0" w:after="0" w:line="240" w:lineRule="auto"/>
            <w:ind w:firstLine="0" w:left="0"/>
            <w:rPr>
              <w:sz w:val="18"/>
            </w:rPr>
          </w:pPr>
        </w:p>
      </w:tc>
      <w:tc>
        <w:tcPr>
          <w:tcW w:w="6235" w:type="dxa"/>
          <w:vMerge w:val="restart"/>
          <w:tcBorders>
            <w:top w:val="single" w:sz="18" w:space="0" w:color="auto"/>
            <w:left w:val="nil"/>
            <w:bottom w:val="nil"/>
            <w:right w:val="single" w:sz="18" w:space="0" w:color="auto"/>
          </w:tcBorders>
          <w:vAlign w:val="center"/>
        </w:tcPr>
        <w:p>
          <w:pPr>
            <w:spacing w:before="0" w:after="0" w:line="240" w:lineRule="auto"/>
            <w:ind w:firstLine="0" w:left="0"/>
            <w:rPr>
              <w:i w:val="0"/>
              <w:lang w:val="ru-RU"/>
            </w:rPr>
            <w:jc w:val="center"/>
          </w:pPr>
          <w:r>
            <w:rPr>
              <w:rFonts w:ascii="Arial" w:hAnsi="Arial" w:cs="Arial" w:eastAsia="Arial"/>
              <w:i/>
              <w:sz w:val="32"/>
              <w:szCs w:val="32"/>
            </w:rPr>
            <w:t xml:space="preserve">МАИР.460327.001</w:t>
          </w:r>
        </w:p>
      </w:tc>
      <w:tc>
        <w:tcPr>
          <w:tcW w:w="567" w:type="dxa"/>
          <w:tcBorders>
            <w:top w:val="single" w:sz="18" w:space="0" w:color="auto"/>
            <w:left w:val="nil"/>
            <w:bottom w:val="single" w:sz="18" w:space="0" w:color="auto"/>
            <w:right w:val="nil"/>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Лист</w:t>
          </w:r>
        </w:p>
      </w:tc>
    </w:tr>
    <w:tr>
      <w:tblPrEx>
        <w:tblCellMar>
          <w:top w:w="0" w:type="dxa"/>
          <w:bottom w:w="0" w:type="dxa"/>
        </w:tblCellMar>
      </w:tblPrEx>
      <w:trPr>
        <w:cantSplit/>
        <w:trHeight w:hRule="exact" w:val="284"/>
      </w:trPr>
      <w:tc>
        <w:tcPr>
          <w:tcW w:w="397" w:type="dxa"/>
          <w:tcBorders>
            <w:left w:val="nil"/>
            <w:bottom w:val="nil"/>
            <w:right w:val="single" w:sz="18" w:space="0" w:color="auto"/>
          </w:tcBorders>
          <w:vAlign w:val="center"/>
        </w:tcPr>
        <w:p>
          <w:pPr>
            <w:spacing w:before="0" w:after="0" w:line="240" w:lineRule="auto"/>
            <w:ind w:firstLine="0" w:left="0"/>
            <w:rPr>
              <w:sz w:val="18"/>
            </w:rPr>
          </w:pPr>
        </w:p>
      </w:tc>
      <w:tc>
        <w:tcPr>
          <w:tcW w:w="567" w:type="dxa"/>
          <w:tcBorders>
            <w:left w:val="nil"/>
            <w:bottom w:val="nil"/>
            <w:right w:val="single" w:sz="18" w:space="0" w:color="auto"/>
          </w:tcBorders>
          <w:vAlign w:val="center"/>
        </w:tcPr>
        <w:p>
          <w:pPr>
            <w:spacing w:before="0" w:after="0" w:line="240" w:lineRule="auto"/>
            <w:ind w:firstLine="0" w:left="0"/>
            <w:rPr>
              <w:sz w:val="18"/>
            </w:rPr>
          </w:pPr>
        </w:p>
      </w:tc>
      <w:tc>
        <w:tcPr>
          <w:tcW w:w="1304" w:type="dxa"/>
          <w:tcBorders>
            <w:left w:val="nil"/>
            <w:bottom w:val="nil"/>
            <w:right w:val="nil"/>
          </w:tcBorders>
          <w:vAlign w:val="center"/>
        </w:tcPr>
        <w:p>
          <w:pPr>
            <w:spacing w:before="0" w:after="0" w:line="240" w:lineRule="auto"/>
            <w:ind w:firstLine="0" w:left="0"/>
            <w:rPr>
              <w:sz w:val="18"/>
            </w:rPr>
          </w:pPr>
        </w:p>
      </w:tc>
      <w:tc>
        <w:tcPr>
          <w:tcW w:w="851" w:type="dxa"/>
          <w:tcBorders>
            <w:left w:val="single" w:sz="18" w:space="0" w:color="auto"/>
            <w:bottom w:val="nil"/>
            <w:right w:val="single" w:sz="18" w:space="0" w:color="auto"/>
          </w:tcBorders>
          <w:vAlign w:val="center"/>
        </w:tcPr>
        <w:p>
          <w:pPr>
            <w:spacing w:before="0" w:after="0" w:line="240" w:lineRule="auto"/>
            <w:ind w:firstLine="0" w:left="0"/>
            <w:rPr>
              <w:sz w:val="18"/>
            </w:rPr>
          </w:pPr>
        </w:p>
      </w:tc>
      <w:tc>
        <w:tcPr>
          <w:tcW w:w="567" w:type="dxa"/>
          <w:tcBorders>
            <w:left w:val="nil"/>
            <w:bottom w:val="nil"/>
            <w:right w:val="single" w:sz="18" w:space="0" w:color="auto"/>
          </w:tcBorders>
          <w:vAlign w:val="center"/>
        </w:tcPr>
        <w:p>
          <w:pPr>
            <w:spacing w:before="0" w:after="0" w:line="240" w:lineRule="auto"/>
            <w:ind w:firstLine="0" w:left="0"/>
            <w:rPr>
              <w:sz w:val="18"/>
            </w:rPr>
          </w:pPr>
        </w:p>
      </w:tc>
      <w:tc>
        <w:tcPr>
          <w:tcW w:w="6235" w:type="dxa"/>
          <w:vMerge/>
          <w:tcBorders>
            <w:top w:val="single" w:sz="18" w:space="0" w:color="auto"/>
            <w:left w:val="nil"/>
            <w:bottom w:val="nil"/>
            <w:right w:val="single" w:sz="18" w:space="0" w:color="auto"/>
          </w:tcBorders>
          <w:vAlign w:val="center"/>
        </w:tcPr>
        <w:p>
          <w:pPr>
            <w:spacing w:before="0" w:after="0" w:line="240" w:lineRule="auto"/>
            <w:ind w:firstLine="0" w:left="0"/>
            <w:rPr>
              <w:sz w:val="18"/>
            </w:rPr>
          </w:pPr>
        </w:p>
      </w:tc>
      <w:tc>
        <w:tcPr>
          <w:tcW w:w="567" w:type="dxa"/>
          <w:vMerge w:val="restart"/>
          <w:tcBorders>
            <w:top w:val="single" w:sz="18" w:space="0" w:color="auto"/>
            <w:left w:val="nil"/>
            <w:bottom w:val="single" w:sz="18" w:space="0" w:color="auto"/>
            <w:right w:val="nil"/>
          </w:tcBorders>
          <w:vAlign w:val="center"/>
        </w:tcPr>
        <w:p>
          <w:pPr>
            <w:spacing w:before="0" w:after="0" w:line="240" w:lineRule="auto"/>
            <w:ind w:firstLine="0" w:left="0"/>
            <w:rPr>
              <w:sz w:val="18"/>
            </w:rPr>
            <w:jc w:val="center"/>
          </w:pPr>
          <w:r>
            <w:rPr>
              <w:rFonts w:ascii="Arial" w:hAnsi="Arial" w:cs="Arial" w:eastAsia="Arial"/>
              <w:i/>
              <w:sz w:val="22"/>
              <w:szCs w:val="22"/>
            </w:rPr>
            <w:fldChar w:fldCharType="begin"/>
          </w:r>
          <w:r>
            <w:rPr>
              <w:rFonts w:ascii="Arial" w:hAnsi="Arial" w:cs="Arial" w:eastAsia="Arial"/>
              <w:i/>
              <w:sz w:val="22"/>
              <w:szCs w:val="22"/>
            </w:rPr>
            <w:instrText xml:space="preserve"> PAGE </w:instrText>
          </w:r>
          <w:r>
            <w:rPr>
              <w:rFonts w:ascii="Arial" w:hAnsi="Arial" w:cs="Arial" w:eastAsia="Arial"/>
              <w:i/>
              <w:sz w:val="22"/>
              <w:szCs w:val="22"/>
            </w:rPr>
            <w:fldChar w:fldCharType="end"/>
          </w:r>
        </w:p>
      </w:tc>
    </w:tr>
    <w:tr>
      <w:tblPrEx>
        <w:tblCellMar>
          <w:top w:w="0" w:type="dxa"/>
          <w:bottom w:w="0" w:type="dxa"/>
        </w:tblCellMar>
      </w:tblPrEx>
      <w:trPr>
        <w:cantSplit/>
        <w:trHeight w:hRule="exact" w:val="284"/>
      </w:trPr>
      <w:tc>
        <w:tcPr>
          <w:tcW w:w="397" w:type="dxa"/>
          <w:tcBorders>
            <w:top w:val="single" w:sz="18" w:space="0" w:color="auto"/>
            <w:left w:val="nil"/>
            <w:bottom w:val="single" w:sz="4"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Изм.</w:t>
          </w:r>
        </w:p>
      </w:tc>
      <w:tc>
        <w:tcPr>
          <w:tcW w:w="567" w:type="dxa"/>
          <w:tcBorders>
            <w:top w:val="single" w:sz="18" w:space="0" w:color="auto"/>
            <w:left w:val="nil"/>
            <w:bottom w:val="single" w:sz="4"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Лист</w:t>
          </w:r>
        </w:p>
      </w:tc>
      <w:tc>
        <w:tcPr>
          <w:tcW w:w="1304" w:type="dxa"/>
          <w:tcBorders>
            <w:top w:val="single" w:sz="18" w:space="0" w:color="auto"/>
            <w:left w:val="nil"/>
            <w:bottom w:val="single" w:sz="4" w:space="0" w:color="auto"/>
            <w:right w:val="nil"/>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Подпись</w:t>
          </w:r>
        </w:p>
      </w:tc>
      <w:tc>
        <w:tcPr>
          <w:tcW w:w="567" w:type="dxa"/>
          <w:tcBorders>
            <w:top w:val="single" w:sz="18" w:space="0" w:color="auto"/>
            <w:left w:val="nil"/>
            <w:bottom w:val="single" w:sz="4" w:space="0" w:color="auto"/>
            <w:right w:val="single" w:sz="18" w:space="0" w:color="auto"/>
          </w:tcBorders>
          <w:vAlign w:val="center"/>
        </w:tcPr>
        <w:p>
          <w:pPr>
            <w:spacing w:before="0" w:after="0" w:line="240" w:lineRule="auto"/>
            <w:ind w:firstLine="0" w:left="0"/>
            <w:jc w:val="center"/>
            <w:rPr>
              <w:rFonts w:ascii="Times New Roman" w:hAnsi="Times New Roman"/>
              <w:sz w:val="17"/>
            </w:rPr>
          </w:pPr>
          <w:r>
            <w:rPr>
              <w:rFonts w:ascii="Arial" w:hAnsi="Arial" w:cs="Arial" w:eastAsia="Arial"/>
              <w:i/>
              <w:sz w:val="17"/>
            </w:rPr>
            <w:t>Дата</w:t>
          </w:r>
        </w:p>
      </w:tc>
      <w:tc>
        <w:tcPr>
          <w:tcW w:w="6235" w:type="dxa"/>
          <w:vMerge/>
          <w:tcBorders>
            <w:top w:val="single" w:sz="18" w:space="0" w:color="auto"/>
            <w:left w:val="nil"/>
            <w:bottom w:val="single" w:sz="4" w:space="0" w:color="auto"/>
            <w:right w:val="single" w:sz="18" w:space="0" w:color="auto"/>
          </w:tcBorders>
          <w:vAlign w:val="center"/>
        </w:tcPr>
        <w:p>
          <w:pPr>
            <w:spacing w:before="0" w:after="0" w:line="240" w:lineRule="auto"/>
            <w:ind w:firstLine="0" w:left="0"/>
            <w:rPr>
              <w:sz w:val="18"/>
            </w:rPr>
          </w:pPr>
        </w:p>
      </w:tc>
      <w:tc>
        <w:tcPr>
          <w:tcW w:w="567" w:type="dxa"/>
          <w:vMerge/>
          <w:tcBorders>
            <w:top w:val="single" w:sz="18" w:space="0" w:color="auto"/>
            <w:left w:val="nil"/>
            <w:bottom w:val="single" w:sz="4" w:space="0" w:color="auto"/>
            <w:right w:val="nil"/>
          </w:tcBorders>
          <w:vAlign w:val="center"/>
        </w:tcPr>
        <w:p>
          <w:pPr>
            <w:spacing w:before="0" w:after="0" w:line="240" w:lineRule="auto"/>
            <w:ind w:firstLine="0" w:left="0"/>
            <w:rPr>
              <w:sz w:val="18"/>
            </w:rPr>
          </w:pPr>
        </w:p>
      </w:tc>
    </w:tr>
  </w:tbl>
  <w:p>
    <w:pPr>
      <w:spacing w:before="0" w:after="0" w:line="20" w:lineRule="exact"/>
      <w:ind w:firstLine="0"/>
      <w:rPr>
        <w:sz w:val="2"/>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pict>
        <v:rect id="vkr_frame" o:allowincell="f" filled="f" strokeweight="1.5pt" style="position:absolute;margin-left:56.69pt;margin-top:14.17pt;width:524.41pt;height:813.54pt;z-index:-251657216;mso-position-horizontal-relative:page;mso-position-vertical-relative:pag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pict>
        <v:rect id="vkr_frame" o:allowincell="f" filled="f" strokeweight="1.5pt" style="position:absolute;margin-left:56.69pt;margin-top:14.17pt;width:524.41pt;height:813.54pt;z-index:-251657216;mso-position-horizontal-relative:page;mso-position-vertical-relative:pag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pict>
        <v:rect id="vkr_frame" o:allowincell="f" filled="f" strokeweight="1.5pt" style="position:absolute;margin-left:56.69pt;margin-top:14.17pt;width:524.41pt;height:813.54pt;z-index:-251657216;mso-position-horizontal-relative:page;mso-position-vertical-relative:pag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ru-RU"/>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b w:val="0"/>
      <w:i w:val="0"/>
      <w:color w:val="000000"/>
      <w:sz w:val="24"/>
      <w:lang w:val="ru-RU" w:eastAsia="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709"/>
      <w:jc w:val="left"/>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709"/>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basedOn w:val="Normal"/>
    <w:pPr>
      <w:spacing w:line="240" w:lineRule="auto"/>
      <w:ind w:firstLine="0"/>
      <w:jc w:val="left"/>
    </w:pPr>
    <w:rPr>
      <w:rFonts w:ascii="Times New Roman" w:hAnsi="Times New Roman" w:eastAsia="Times New Roman" w:cs="Times New Roman"/>
      <w:b w:val="0"/>
      <w:i w:val="0"/>
      <w:color w:val="000000"/>
      <w:sz w:val="24"/>
    </w:rPr>
  </w:style>
  <w:style w:type="paragraph" w:customStyle="1" w:styleId="TableCaption">
    <w:name w:val="TableCaption"/>
    <w:basedOn w:val="Normal"/>
    <w:pPr>
      <w:keepNext/>
      <w:spacing w:before="120"/>
      <w:ind w:firstLine="0"/>
      <w:jc w:val="left"/>
    </w:pPr>
  </w:style>
  <w:style w:type="paragraph" w:customStyle="1" w:styleId="Formula">
    <w:name w:val="Formula"/>
    <w:basedOn w:val="Normal"/>
    <w:pPr>
      <w:spacing w:before="120" w:after="120"/>
      <w:ind w:firstLine="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