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–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–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– на рисунке 5.1. Кабинет в плане имеет Г-образную форму. Окно – оконный блок из трёх створок в левой стене –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153,3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– рабочий стол специалиста (РМ); 2 – кресло; 3 – окно; 4 – радиатор отопления; 5 – огнетушитель; 6 – дверь; Т – тумба; Ш – шкаф; ШР –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[51]. Фактическая площадь на одно рабочее место –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Гц. Системные блоки подключаются шнуром с заземляющей жилой к розеткам с заземляющим контактом: изделия, имеющие рабочую изоляцию и элемент для заземления, относятся к I классу защиты от поражения электрическим током [52].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усилий.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–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[53].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– итоговый класс. При превышении нормативов предлагаются мероприятия по их устранению. Классы условий труда установлены Федеральным законом № 426-ФЗ [54]: 1 – оптимальные, 2 – допустимые, 3.1–3.4 – вредные, 4 –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[55],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–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Идентифицируется; оценивается по СП 52.13330.2016 и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 (сеть 50 Гц); радиомодули плат экспериментального стенда (867 МГц)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расчётом по СанПиН 1.2.3685-21, раздел 5.2.5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(приложение 1)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[56]. Оптимальные значения показателей для этой категории установлены ГОСТ 12.1.005-88 [56], допустимые – СанПиН 1.2.3685-21 [57]. Источники тепла в помещении – люди, ПЭВМ, светильники и радиаторы отопления.</w:t>
      </w:r>
    </w:p>
    <w:p>
      <w:r>
        <w:t>Температура воздуха поддерживается кондиционером. Нормативные и фактические значения показателей микроклимата приведены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0,05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–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153,3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[58].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– элементов знаков на экране – 0,3–0,5 мм, это разряд III (высота самих знаков – 1,1–5 мм, этот размер учитывается в оценке напряжённости, раздел 5.2.6); контраст объекта с фоном и фон средние, это подразряд «в». Для него нормируемая освещённость при общем освещении – 300 лк, при комбинированном – 750 лк, показатель ослеплённости – не более 40 [59, 60]. В помещениях с рабочими местами, оборудованными ПЭВМ, коэффициент пульсации освещённости не должен превышать 5 % [57]. Нормы для зрительных работ разряда III по СП 52.13330.2016 приведены в таблице 5.5 [59].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мм; по паспортным данным панели того же типа мощность одной панели – 48 Вт, световой поток – 4 800 лм, коэффициент пульсации – менее 1 % [61]; естественное освещение – боковое, через окно в левой стене. Расчёт в разделе 5.6 показывает, что к концу срока службы, с учётом коэффициента запаса, светильники создают на рабочей поверхности 287 лк: отклонение от нормы 300 лк составляет −4,3 % и находится в пределах допуска −10…+20 %, принятого при проектировании освещения [60]. Допуск относится именно к этой, расчётной освещённости. Новые светильники дают больше – около 430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[53].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Гигиенический норматив для рабочих мест – эквивалентный уровень звука за смену 80 дБА [57]; он один для всех видов работ и относится к шуму на рабочем месте, в том числе от собственного оборудования. Для помещений офисов и кабинетов конструкторских, проектных и научно-исследовательских организаций свод правил по защите от шума устанавливает более строгие допустимые уровни шума, проникающего из других помещений и извне: эквивалентный уровень звука 50 дБА, максимальный – 65 дБА, уровни звукового давления в октавных полосах частот – по таблице 5.6 [62]. Шум оборудования кабинета оценивается по нормативу 80 дБА и дополнительно сравнивается с более строгим значением 50 дБА.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проникающего шума в помещениях офисов и научно-исследовательских организаций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510"/>
        <w:gridCol w:w="510"/>
        <w:gridCol w:w="510"/>
        <w:gridCol w:w="510"/>
        <w:gridCol w:w="510"/>
        <w:gridCol w:w="566"/>
        <w:gridCol w:w="566"/>
        <w:gridCol w:w="566"/>
        <w:gridCol w:w="566"/>
        <w:gridCol w:w="1474"/>
        <w:gridCol w:w="1474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Назначение помещений</w:t>
            </w:r>
          </w:p>
        </w:tc>
        <w:tc>
          <w:tcPr>
            <w:tcW w:type="dxa" w:w="4818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Эквива-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лентный уровень звука, дБА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Макси-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мальный уровень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Помещения офисов, рабочие помещения и кабинеты административных зданий, конструкторских, проектных и научно-исследовательских организаций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</w:tr>
    </w:tbl>
    <w:p>
      <w:pPr>
        <w:spacing w:line="240" w:lineRule="auto"/>
      </w:pPr>
    </w:p>
    <w:p>
      <w:r>
        <w:t>Источники шума в кабинете –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паспортным данным оборудования того же класса для самого шумного режима работы: системный блок офисного ПК – 19 дБА на месте оператора в наиболее шумном из указанных в паспорте режимов [63]; внутренний блок настенной сплит-системы холодопроизводительностью 5,3 кВт, рассчитанной на помещение около 50 м², – от 30 до 44 дБА в зависимости от скорости вентилятора, принято наибольшее значение 44 дБА [64]; шредер с уровнем секретности P-5 – 60 дБ [65]. Вклад источника в эквивалентный уровень за смену [66, 67]: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–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26,8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43,3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46,7</w:t>
            </w:r>
          </w:p>
        </w:tc>
      </w:tr>
    </w:tbl>
    <w:p>
      <w:pPr>
        <w:spacing w:line="240" w:lineRule="auto"/>
      </w:pPr>
    </w:p>
    <w:p>
      <w:r>
        <w:t>Эквивалентный уровень звука 46,7 дБА не превышает гигиенического норматива 80 дБА и укладывается даже в более строгий допустимый уровень 50 дБА для офисов (запас 3,3 дБА). По Методике СОУТ, условия труда по шуму – класс 2 (допустимый).</w:t>
      </w:r>
    </w:p>
    <w:p>
      <w:pPr>
        <w:pStyle w:val="Heading3"/>
      </w:pPr>
      <w:r>
        <w:t>5.2.5 Электромагнитные поля</w:t>
      </w:r>
    </w:p>
    <w:p>
      <w:r>
        <w:t>Источники электромагнитных полей на рабочем месте – ПЭВМ и мониторы, которые питаются от сети 50 Гц, и радиомодули плат экспериментального стенда: при отладке программ платы передают данные по каналу Wi-Fi HaLow на частоте 867 МГц. Отдельных нормативов электромагнитных полей от ПЭВМ действующий СанПиН 1.2.3685-21 не содержит, поля частотой 50 Гц в кабинете не измерялись. Излучение стенда оценивается расчётом.</w:t>
      </w:r>
    </w:p>
    <w:p>
      <w:pPr>
        <w:keepNext/>
      </w:pPr>
      <w:r>
        <w:t>Наибольшая мощность передатчика модуля TX-AH стенда – +20 дБм, то есть 100 мВт [17]. В опытах мощность стенда ограничена 14 дБм: в полосе 866–868 МГц решения ГКРЧ допускают эффективную излучаемую мощность не более 25 мВт [15, 23], поэтому расчёт по 20 дБм идёт в запас. Усиление штатных антенн – 0 дБи. На расстоянии больше длины волны (0,35 м) плотность потока энергии от одновременно передающих плат: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плат, 2 (с камерой и приёмная);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Вт;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1; </w:t>
      </w:r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 до оператора, 0,5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2·0,1·1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0,5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= 0,0637 Вт/м² = 6,4 мкВт/см².</m:t>
        </m:r>
      </m:oMath>
    </w:p>
    <w:p>
      <w:pPr>
        <w:keepNext/>
      </w:pPr>
      <w:r>
        <w:t>Энергетическая экспозиция за смену при непрерывной передаче [57]: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ППЭ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6,4·8 = 51,2 (мкВт/см²)·ч,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r>
        <w:t>Для диапазона 300 МГц – 300 ГГц энергетическая экспозиция за смену должна быть не более 200 (мкВт/см²)·ч, плотность потока энергии – не более 1000 мкВт/см² [57]. Даже если обе платы передают с наибольшей мощностью всю смену, экспозиция в 3,9 раза ниже нормы; по экспозиции норма выполняется уже на расстоянии 0,25 м от антенн. Платы стенда размещаются на столе не ближе 0,5 м от оператора (рисунок 5.3). Уровень фактора не превышает предельно допустимого, поэтому по Методике СОУТ условия труда по излучению стенда – класс 2 (допустимый) [53].</w:t>
      </w:r>
    </w:p>
    <w:p>
      <w:pPr>
        <w:pStyle w:val="Heading3"/>
      </w:pPr>
      <w:r>
        <w:t>5.2.6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– нагрузку на центральную нервную систему, органы чувств и эмоциональную сферу [68].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Нерегулярные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Нерегулярные,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–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на слух не выполняется; речь в кабинете разборчива без помех (разборчивость 100–90 %)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– 14, класс 2 – 6, класс 3.1 – 2, класс 3.2 –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–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[68]. Напряжённость трудового процесса –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5.2.7 Класс условий труда</w:t>
      </w:r>
    </w:p>
    <w:p>
      <w:r>
        <w:t>Итоговый класс условий труда равен наивысшему из классов по отдельным факторам [53].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 к концу срока службы (новые светильники – около 430 лк) [5.2.3]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лк, допуск −10…+20 %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46,7 дБА [5.2.4]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80 дБА (для офисов – 50 дБА)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Излучение стенда: энергетическая экспозиция за смену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51,2 (мкВт/см²)·ч [5.2.5]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200 (мкВт/см²)·ч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Рабочая поза – класс 2, остальные 6 показателей – класс 1 (таблица 5.8)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Итоговый класс – наибольший из классов по показателям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 показателя из 23 – класс 3.1–3.2, остальные – классы 1 и 2 (таблица 5.9)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 2 – не более 5 показателей класса 3.1–3.2 при остальных классах 1 и 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–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[69, 70].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[69], показанных на рисунке 5.3: в зоне А (оптимальной) находятся клавиатура и мышь, которыми пользуются постоянно, в зоне Б (лёгкой досягаемости) – документы, в зоне В (досягаемости вытянутой рукой) –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– монитор; 2 – клавиатура; 3 – мышь; 4 – документы; 5 – кресло; 6 – платы экспериментального стенда; А – оптимальная зона; Б – зона лёгкой досягаемости; В – зона досягаемости</w:t>
      </w:r>
    </w:p>
    <w:p>
      <w:r>
        <w:t>Параметры рабочего места и видеотерминала сопоставлены с нормативными в таблице 5.11 [70, 71, 72].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 23,8″,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750 (проектное расстояние для экранов 19″ и более)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[73]. Относительная влажность воздуха в кабинете – 40–50 % (таблица 5.4), то есть не более 60 %, поэтому по ПУЭ помещение сухое; температура нормальная, токопроводящая пыль отсутствует, пол – ламинат –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– зависят от продолжительности воздействия тока и приведены в таблице 5.12 [74].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[75, 76]: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при воздействии в течение всей смены не должна превышать 20 кВ/м, а на поверхности полимерных материалов в общественных зданиях – 15 кВ/м при относительной влажности 30–60 % [57].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– короткое замыкание и перегрузка электрической сети, неисправность блоков питания ПЭВМ и источников бесперебойного питания. Горючие материалы –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[77]. Категории по взрывопожарной и пожарной опасности (А, Б, В1–В4, Г, Д) установлены только для помещений производственного и складского назначения: так их определяют статья 27 Технического регламента о требованиях пожарной безопасности [77] и пункт 1.1 СП 12.13130.2009, задающего методику их расчёта [78]. Кабинет – помещение офисного здания, к производственным и складским не относится, поэтому категория для него не определяется. Класс Ф4.3 определяет требования к зданию – к эвакуационным путям и выходам, системам оповещения и пожарной сигнализации [77]; при эксплуатации кабинета действуют Правила противопожарного режима [79],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[80];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прихожей; направление открывания дверей не нормируется для помещений с одновременным пребыванием не более 15 человек, кроме помещений категорий А и Б [81], а в кабинете одновременно находятся не более 6 человек.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–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[59, 60]. Нормируемая освещённость – 300 лк (раздел 5.2.3); для кабинетов и офисов она нормируется на горизонтальной рабочей поверхности на высоте 0,8 м от пола [57].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– 70, 50 и 30 %. Коэффициент запаса для административно-конструкторских помещений Kз = 1,5, коэффициент неравномерности освещённости z = 1,1 [60].</w:t>
      </w:r>
    </w:p>
    <w:p>
      <w:pPr>
        <w:keepNext/>
      </w:pPr>
      <w:r>
        <w:t>В кабинете установлены светильники – встраиваемые светодиодные панели 595 × 595 мм для потолка «Армстронг». По паспортным данным панели того же типа: мощность 48 Вт, световой поток 4 800 лм, коэффициент пульсации менее 1 %, цветовая температура 4000 К, матовый (опаловый) рассеиватель [61]. Светильник с матовым рассеивателем светит по косинусному закону – тип кривой силы света Д [60]. В таблице коэффициентов использования косинусная кривая представлена двумя вариантами, Д-1 и Д-2. Принят Д-1, у которого коэффициент использования меньше (при i = 1,25 – 58 % против 68 %).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[60, 82].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40 150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– ФΣ / N = 40 150 / 8 = 5 019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4 800 - 5 019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5 019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-4,4 %.</m:t>
        </m:r>
      </m:oMath>
    </w:p>
    <w:p>
      <w:r>
        <w:t>Методические указания допускают отклонение потока от требуемого в пределах −10…+20 % [60],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8·48 = 384 Вт,</m:t>
        </m:r>
      </m:oMath>
    </w:p>
    <w:p>
      <w:r>
        <w:t>удельная мощность – 7,5 Вт/м². Освещённость 287 лк – наименьшая, к концу срока службы светильников: коэффициент запаса учитывает снижение их потока и загрязнение; новые панели дают около 430 лк. Отклонение расчётной освещённости от нормы 300 лк (−4,3 %) – в пределах допуска −10…+20 % [60],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– допустимые (класс 2). При замене панелей выбираются светильники с индексом цветопередачи не менее 85, который установлен для общего искусственного освещения [57].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электромагнитного излучения стенда,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к концу срока службы светильников – 287 лк при норме 300 лк (−4,3 %, в пределах допуска −10…+20 %); новые светильники дают около 430 лк;</w:t>
      </w:r>
    </w:p>
    <w:p>
      <w:r>
        <w:t xml:space="preserve">– </w:t>
      </w:r>
      <w:r>
        <w:t>эквивалентный уровень шума 46,7 дБА не превышает норматива 80 дБА и укладывается в более строгие 50 дБА для офисов; тяжесть и напряжённость трудового процесса – класс 2;</w:t>
      </w:r>
    </w:p>
    <w:p>
      <w:r>
        <w:t xml:space="preserve">– </w:t>
      </w:r>
      <w:r>
        <w:t>энергетическая экспозиция от радиомодулей стенда за смену – 51,2 (мкВт/см²)·ч при норме 200 (мкВт/см²)·ч, даже если обе платы передают с наибольшей мощностью всю смену на расстоянии 0,5 м от оператора;</w:t>
      </w:r>
    </w:p>
    <w:p>
      <w:r>
        <w:t xml:space="preserve">– </w:t>
      </w:r>
      <w:r>
        <w:t>итоговый класс условий труда –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48 Вт со световым потоком 4 800 лм в количестве 8 шт.; они обеспечивают к концу срока службы освещённость 287 лк при норме 300 лк (−4,3 %, в пределах допуска −10…+20 %; новые – около 430 лк)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