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32</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34</w:t>
      </w:r>
    </w:p>
    <w:p>
      <w:pPr>
        <w:tabs>
          <w:tab w:pos="9354" w:val="right" w:leader="dot"/>
        </w:tabs>
        <w:ind w:firstLine="0" w:left="283" w:right="567"/>
        <w:jc w:val="left"/>
      </w:pPr>
      <w:r>
        <w:rPr>
          <w:b w:val="0"/>
        </w:rPr>
        <w:t>3.1 Условия испытаний</w:t>
        <w:tab/>
        <w:t>34</w:t>
      </w:r>
    </w:p>
    <w:p>
      <w:pPr>
        <w:tabs>
          <w:tab w:pos="9354" w:val="right" w:leader="dot"/>
        </w:tabs>
        <w:ind w:firstLine="0" w:left="283" w:right="567"/>
        <w:jc w:val="left"/>
      </w:pPr>
      <w:r>
        <w:rPr>
          <w:b w:val="0"/>
        </w:rPr>
        <w:t>3.2 Влияние полосы приёма (лабораторный этап)</w:t>
        <w:tab/>
        <w:t>34</w:t>
      </w:r>
    </w:p>
    <w:p>
      <w:pPr>
        <w:tabs>
          <w:tab w:pos="9354" w:val="right" w:leader="dot"/>
        </w:tabs>
        <w:ind w:firstLine="0" w:left="283" w:right="567"/>
        <w:jc w:val="left"/>
      </w:pPr>
      <w:r>
        <w:rPr>
          <w:b w:val="0"/>
        </w:rPr>
        <w:t>3.3 Пропускная способность платформы и ограничивающее звено</w:t>
        <w:tab/>
        <w:t>36</w:t>
      </w:r>
    </w:p>
    <w:p>
      <w:pPr>
        <w:tabs>
          <w:tab w:pos="9354" w:val="right" w:leader="dot"/>
        </w:tabs>
        <w:ind w:firstLine="0" w:left="283" w:right="567"/>
        <w:jc w:val="left"/>
      </w:pPr>
      <w:r>
        <w:rPr>
          <w:b w:val="0"/>
        </w:rPr>
        <w:t>3.4 Доработки канала передачи видео и итоговые результаты</w:t>
        <w:tab/>
        <w:t>40</w:t>
      </w:r>
    </w:p>
    <w:p>
      <w:pPr>
        <w:tabs>
          <w:tab w:pos="9354" w:val="right" w:leader="dot"/>
        </w:tabs>
        <w:ind w:firstLine="0" w:left="283" w:right="567"/>
        <w:jc w:val="left"/>
      </w:pPr>
      <w:r>
        <w:rPr>
          <w:b w:val="0"/>
        </w:rPr>
        <w:t>3.5 Искажения изображения камеры, наводка передатчика и выбор мощности</w:t>
        <w:tab/>
        <w:t>46</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48</w:t>
      </w:r>
    </w:p>
    <w:p>
      <w:pPr>
        <w:tabs>
          <w:tab w:pos="9354" w:val="right" w:leader="dot"/>
        </w:tabs>
        <w:ind w:firstLine="0" w:left="283" w:right="567"/>
        <w:jc w:val="left"/>
      </w:pPr>
      <w:r>
        <w:rPr>
          <w:b w:val="0"/>
        </w:rPr>
        <w:t>3.7 Сравнение с IEEE 802.11 (Wi-Fi 2,4 и 5 ГГц) и LoRa</w:t>
        <w:tab/>
        <w:t>52</w:t>
      </w:r>
    </w:p>
    <w:p>
      <w:pPr>
        <w:tabs>
          <w:tab w:pos="9354" w:val="right" w:leader="dot"/>
        </w:tabs>
        <w:ind w:firstLine="0" w:left="283" w:right="567"/>
        <w:jc w:val="left"/>
      </w:pPr>
      <w:r>
        <w:rPr>
          <w:b w:val="0"/>
        </w:rPr>
        <w:t>3.8 Выводы</w:t>
        <w:tab/>
        <w:t>59</w:t>
      </w:r>
    </w:p>
    <w:p>
      <w:pPr>
        <w:tabs>
          <w:tab w:pos="9354" w:val="right" w:leader="dot"/>
        </w:tabs>
        <w:ind w:firstLine="0" w:left="0" w:right="567"/>
        <w:jc w:val="left"/>
      </w:pPr>
      <w:r>
        <w:rPr>
          <w:b/>
        </w:rPr>
        <w:t>4 Экономическая часть</w:t>
        <w:tab/>
        <w:t>61</w:t>
      </w:r>
    </w:p>
    <w:p>
      <w:pPr>
        <w:tabs>
          <w:tab w:pos="9354" w:val="right" w:leader="dot"/>
        </w:tabs>
        <w:ind w:firstLine="0" w:left="283" w:right="567"/>
        <w:jc w:val="left"/>
      </w:pPr>
      <w:r>
        <w:rPr>
          <w:b w:val="0"/>
        </w:rPr>
        <w:t>4.1 Оценка целесообразности проведения исследования</w:t>
        <w:tab/>
        <w:t>62</w:t>
      </w:r>
    </w:p>
    <w:p>
      <w:pPr>
        <w:tabs>
          <w:tab w:pos="9354" w:val="right" w:leader="dot"/>
        </w:tabs>
        <w:ind w:firstLine="0" w:left="283" w:right="567"/>
        <w:jc w:val="left"/>
      </w:pPr>
      <w:r>
        <w:rPr>
          <w:b w:val="0"/>
        </w:rPr>
        <w:t>4.2 Планирование разработки</w:t>
        <w:tab/>
        <w:t>65</w:t>
      </w:r>
    </w:p>
    <w:p>
      <w:pPr>
        <w:tabs>
          <w:tab w:pos="9354" w:val="right" w:leader="dot"/>
        </w:tabs>
        <w:ind w:firstLine="0" w:left="283" w:right="567"/>
        <w:jc w:val="left"/>
      </w:pPr>
      <w:r>
        <w:rPr>
          <w:b w:val="0"/>
        </w:rPr>
        <w:t>4.3 Определение затрат, себестоимости и цены разработки</w:t>
        <w:tab/>
        <w:t>68</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72</w:t>
      </w:r>
    </w:p>
    <w:p>
      <w:pPr>
        <w:tabs>
          <w:tab w:pos="9354" w:val="right" w:leader="dot"/>
        </w:tabs>
        <w:ind w:firstLine="0" w:left="283" w:right="567"/>
        <w:jc w:val="left"/>
      </w:pPr>
      <w:r>
        <w:rPr>
          <w:b w:val="0"/>
        </w:rPr>
        <w:t>4.5 Выводы</w:t>
        <w:tab/>
        <w:t>74</w:t>
      </w:r>
    </w:p>
    <w:p>
      <w:pPr>
        <w:tabs>
          <w:tab w:pos="9354" w:val="right" w:leader="dot"/>
        </w:tabs>
        <w:ind w:firstLine="0" w:left="0" w:right="567"/>
        <w:jc w:val="left"/>
      </w:pPr>
      <w:r>
        <w:rPr>
          <w:b/>
        </w:rPr>
        <w:t>5 Охрана труда и окружающей среды</w:t>
        <w:tab/>
        <w:t>76</w:t>
      </w:r>
    </w:p>
    <w:p>
      <w:pPr>
        <w:tabs>
          <w:tab w:pos="9354" w:val="right" w:leader="dot"/>
        </w:tabs>
        <w:ind w:firstLine="0" w:left="283" w:right="567"/>
        <w:jc w:val="left"/>
      </w:pPr>
      <w:r>
        <w:rPr>
          <w:b w:val="0"/>
        </w:rPr>
        <w:t>5.1 Введение</w:t>
        <w:tab/>
        <w:t>76</w:t>
      </w:r>
    </w:p>
    <w:p>
      <w:pPr>
        <w:tabs>
          <w:tab w:pos="9354" w:val="right" w:leader="dot"/>
        </w:tabs>
        <w:ind w:firstLine="0" w:left="283" w:right="567"/>
        <w:jc w:val="left"/>
      </w:pPr>
      <w:r>
        <w:rPr>
          <w:b w:val="0"/>
        </w:rPr>
        <w:t>5.2 Оценка условий труда</w:t>
        <w:tab/>
        <w:t>78</w:t>
      </w:r>
    </w:p>
    <w:p>
      <w:pPr>
        <w:tabs>
          <w:tab w:pos="9354" w:val="right" w:leader="dot"/>
        </w:tabs>
        <w:ind w:firstLine="0" w:left="283" w:right="567"/>
        <w:jc w:val="left"/>
      </w:pPr>
      <w:r>
        <w:rPr>
          <w:b w:val="0"/>
        </w:rPr>
        <w:t>5.3 Оценка условий труда по эргономическим параметрам</w:t>
        <w:tab/>
        <w:t>86</w:t>
      </w:r>
    </w:p>
    <w:p>
      <w:pPr>
        <w:tabs>
          <w:tab w:pos="9354" w:val="right" w:leader="dot"/>
        </w:tabs>
        <w:ind w:firstLine="0" w:left="283" w:right="567"/>
        <w:jc w:val="left"/>
      </w:pPr>
      <w:r>
        <w:rPr>
          <w:b w:val="0"/>
        </w:rPr>
        <w:t>5.4 Оценка помещения по электроопасности</w:t>
        <w:tab/>
        <w:t>89</w:t>
      </w:r>
    </w:p>
    <w:p>
      <w:pPr>
        <w:tabs>
          <w:tab w:pos="9354" w:val="right" w:leader="dot"/>
        </w:tabs>
        <w:ind w:firstLine="0" w:left="283" w:right="567"/>
        <w:jc w:val="left"/>
      </w:pPr>
      <w:r>
        <w:rPr>
          <w:b w:val="0"/>
        </w:rPr>
        <w:t>5.5 Классификация помещения по пожароопасности</w:t>
        <w:tab/>
        <w:t>90</w:t>
      </w:r>
    </w:p>
    <w:p>
      <w:pPr>
        <w:tabs>
          <w:tab w:pos="9354" w:val="right" w:leader="dot"/>
        </w:tabs>
        <w:ind w:firstLine="0" w:left="283" w:right="567"/>
        <w:jc w:val="left"/>
      </w:pPr>
      <w:r>
        <w:rPr>
          <w:b w:val="0"/>
        </w:rPr>
        <w:t>5.6 Расчёт искусственного освещения</w:t>
        <w:tab/>
        <w:t>91</w:t>
      </w:r>
    </w:p>
    <w:p>
      <w:pPr>
        <w:tabs>
          <w:tab w:pos="9354" w:val="right" w:leader="dot"/>
        </w:tabs>
        <w:ind w:firstLine="0" w:left="283" w:right="567"/>
        <w:jc w:val="left"/>
      </w:pPr>
      <w:r>
        <w:rPr>
          <w:b w:val="0"/>
        </w:rPr>
        <w:t>5.7 Выводы</w:t>
        <w:tab/>
        <w:t>94</w:t>
      </w:r>
    </w:p>
    <w:p>
      <w:pPr>
        <w:tabs>
          <w:tab w:pos="9354" w:val="right" w:leader="dot"/>
        </w:tabs>
        <w:ind w:firstLine="0" w:left="0" w:right="567"/>
        <w:jc w:val="left"/>
      </w:pPr>
      <w:r>
        <w:rPr>
          <w:b w:val="0"/>
        </w:rPr>
        <w:t>Заключение</w:t>
        <w:tab/>
        <w:t>96</w:t>
      </w:r>
    </w:p>
    <w:p>
      <w:pPr>
        <w:tabs>
          <w:tab w:pos="9354" w:val="right" w:leader="dot"/>
        </w:tabs>
        <w:ind w:firstLine="0" w:left="0" w:right="567"/>
        <w:jc w:val="left"/>
      </w:pPr>
      <w:r>
        <w:rPr>
          <w:b w:val="0"/>
        </w:rPr>
        <w:t>Список использованных источников</w:t>
        <w:tab/>
        <w:t>99</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109 с., 15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r>
        <w:t xml:space="preserve">Окно программы просмотра показано на рисунке </w:t>
      </w:r>
      <w:r>
        <w:t>2.3</w:t>
      </w:r>
      <w:r>
        <w:t>. Вверху слева — принимаемое видео 480 × 320, справа — показатели приёмника: частота видеокадров, принятая и полезная скорость, размер видеокадра, число показанных и потерянных видеокадров, потери фрагментов и число видеокадров, восстановленных помехоустойчивым кодом и досылкой. Ниже — показатели борта из журнала камеры, переданного по радиоканалу: мощность передатчика, SNR в обе стороны, RSSI, модуляция и её нижняя граница, PER, качество сжатия, задержка подтверждения; внизу — строки самого журнала.</w:t>
      </w:r>
    </w:p>
    <w:p>
      <w:pPr>
        <w:keepNext/>
        <w:ind w:firstLine="0"/>
        <w:jc w:val="center"/>
      </w:pPr>
      <w:r>
        <w:drawing>
          <wp:inline xmlns:a="http://schemas.openxmlformats.org/drawingml/2006/main" xmlns:pic="http://schemas.openxmlformats.org/drawingml/2006/picture">
            <wp:extent cx="5940000" cy="4489996"/>
            <wp:docPr id="4" name="Picture 4"/>
            <wp:cNvGraphicFramePr>
              <a:graphicFrameLocks noChangeAspect="1"/>
            </wp:cNvGraphicFramePr>
            <a:graphic>
              <a:graphicData uri="http://schemas.openxmlformats.org/drawingml/2006/picture">
                <pic:pic>
                  <pic:nvPicPr>
                    <pic:cNvPr id="0" name="fig_viewer.png"/>
                    <pic:cNvPicPr/>
                  </pic:nvPicPr>
                  <pic:blipFill>
                    <a:blip r:embed="rId13"/>
                    <a:stretch>
                      <a:fillRect/>
                    </a:stretch>
                  </pic:blipFill>
                  <pic:spPr>
                    <a:xfrm>
                      <a:off x="0" y="0"/>
                      <a:ext cx="5940000" cy="4489996"/>
                    </a:xfrm>
                    <a:prstGeom prst="rect"/>
                  </pic:spPr>
                </pic:pic>
              </a:graphicData>
            </a:graphic>
          </wp:inline>
        </w:drawing>
      </w:r>
    </w:p>
    <w:p>
      <w:pPr>
        <w:ind w:firstLine="0"/>
        <w:jc w:val="center"/>
      </w:pPr>
      <w:r>
        <w:t>Рисунок 2.3 – Окно программы просмотра halow_viewer.py</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5" name="Picture 5"/>
            <wp:cNvGraphicFramePr>
              <a:graphicFrameLocks noChangeAspect="1"/>
            </wp:cNvGraphicFramePr>
            <a:graphic>
              <a:graphicData uri="http://schemas.openxmlformats.org/drawingml/2006/picture">
                <pic:pic>
                  <pic:nvPicPr>
                    <pic:cNvPr id="0" name="fig_throughput.png"/>
                    <pic:cNvPicPr/>
                  </pic:nvPicPr>
                  <pic:blipFill>
                    <a:blip r:embed="rId14"/>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6" name="Picture 6"/>
            <wp:cNvGraphicFramePr>
              <a:graphicFrameLocks noChangeAspect="1"/>
            </wp:cNvGraphicFramePr>
            <a:graphic>
              <a:graphicData uri="http://schemas.openxmlformats.org/drawingml/2006/picture">
                <pic:pic>
                  <pic:nvPicPr>
                    <pic:cNvPr id="0" name="fig_inertia.png"/>
                    <pic:cNvPicPr/>
                  </pic:nvPicPr>
                  <pic:blipFill>
                    <a:blip r:embed="rId15"/>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 окно программы просмотра — на рисунке 2.3.</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7" name="Picture 7"/>
            <wp:cNvGraphicFramePr>
              <a:graphicFrameLocks noChangeAspect="1"/>
            </wp:cNvGraphicFramePr>
            <a:graphic>
              <a:graphicData uri="http://schemas.openxmlformats.org/drawingml/2006/picture">
                <pic:pic>
                  <pic:nvPicPr>
                    <pic:cNvPr id="0" name="fig_rate_range.png"/>
                    <pic:cNvPicPr/>
                  </pic:nvPicPr>
                  <pic:blipFill>
                    <a:blip r:embed="rId16"/>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8" name="Picture 8"/>
            <wp:cNvGraphicFramePr>
              <a:graphicFrameLocks noChangeAspect="1"/>
            </wp:cNvGraphicFramePr>
            <a:graphic>
              <a:graphicData uri="http://schemas.openxmlformats.org/drawingml/2006/picture">
                <pic:pic>
                  <pic:nvPicPr>
                    <pic:cNvPr id="0" name="fig_rate_heatmap.png"/>
                    <pic:cNvPicPr/>
                  </pic:nvPicPr>
                  <pic:blipFill>
                    <a:blip r:embed="rId17"/>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9" name="Picture 9"/>
            <wp:cNvGraphicFramePr>
              <a:graphicFrameLocks noChangeAspect="1"/>
            </wp:cNvGraphicFramePr>
            <a:graphic>
              <a:graphicData uri="http://schemas.openxmlformats.org/drawingml/2006/picture">
                <pic:pic>
                  <pic:nvPicPr>
                    <pic:cNvPr id="0" name="fig_wall.png"/>
                    <pic:cNvPicPr/>
                  </pic:nvPicPr>
                  <pic:blipFill>
                    <a:blip r:embed="rId18"/>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10" name="Picture 10"/>
            <wp:cNvGraphicFramePr>
              <a:graphicFrameLocks noChangeAspect="1"/>
            </wp:cNvGraphicFramePr>
            <a:graphic>
              <a:graphicData uri="http://schemas.openxmlformats.org/drawingml/2006/picture">
                <pic:pic>
                  <pic:nvPicPr>
                    <pic:cNvPr id="0" name="fig_foliage.png"/>
                    <pic:cNvPicPr/>
                  </pic:nvPicPr>
                  <pic:blipFill>
                    <a:blip r:embed="rId19"/>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20"/>
          <w:headerReference w:type="first" r:id="rId21"/>
          <w:footerReference w:type="first" r:id="rId22"/>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ГОСТ 12.2.007.0-75. Система стандартов безопасности труда. Изделия электротехнические. Общие требования безопасности : государственный стандарт Союза ССР : утвержден постановлением Государственного комитета стандартов Совета Министров СССР от 10.09.1975 № 2368 : дата введения 1978-01-01. – Текст : электронный // МЕГАНОРМ : [сайт]. – URL: https://meganorm.ru/Data1/6/6884/index.htm (дата обращения: 23.10.2026).</w:t>
      </w:r>
    </w:p>
    <w:p>
      <w:pPr>
        <w:ind w:firstLine="0"/>
        <w:jc w:val="left"/>
      </w:pPr>
      <w:r>
        <w:t>53.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54.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55.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56.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57.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58.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59.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60.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61. Универсальная светодиодная панель MASTER ДВО 48W-4000K-595х595х40-опал IP40 KZS : артикул 48786 : технические характеристики / FERON. – Текст : электронный // FERON : [сайт]. – URL: https://feron.ru/catalog/svetodiodnye_paneli_armstrong/universalnaya_svetodiodnaya_panel_master_dvo_48w_4000k_595kh595kh40_opal_ip40_kzs/ (дата обращения: 23.10.2026).</w:t>
      </w:r>
    </w:p>
    <w:p>
      <w:pPr>
        <w:ind w:firstLine="0"/>
        <w:jc w:val="left"/>
      </w:pPr>
      <w:r>
        <w:t>62.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(ред. от 12.12.2023)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63.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64.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65. Шредер Cactus CS-SH-G6 : характеристики. – Текст : электронный // КНС : [сайт]. – URL: https://www.kns.ru/product/shreder-cactus-cs-sh-g6/characteristics/ (дата обращения: 22.10.2026).</w:t>
      </w:r>
    </w:p>
    <w:p>
      <w:pPr>
        <w:ind w:firstLine="0"/>
        <w:jc w:val="left"/>
      </w:pPr>
      <w:r>
        <w:t>66.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67.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68.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69.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70.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71.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72.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73.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74.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75.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76.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77.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78.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79.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80.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81.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82.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3"/>
      <w:footerReference w:type="default" r:id="rId24"/>
      <w:pgSz w:w="11906" w:h="16838"/>
      <w:pgMar w:top="1134" w:right="850" w:bottom="1417" w:left="1701" w:header="283" w:footer="283" w:gutter="0"/>
      <w:cols w:space="720"/>
      <w:docGrid w:linePitch="360"/>
      <w:pgNumType w:start="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109</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