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анализ эффективности технологии Wi-Fi HaLow (IEEE 802.11ah) [6] на платформе LilyGO T-HaLow (микроконтроллер ESP32-S3 и радиомодуль TX-AH-R900P) по сравнению с традиционными протоколами Wi-Fi по дальности, уровню сигнала, задержке и потерям пакетов; исследование выполняется на экспериментальной системе передачи видео по каналу «точка — точка» из двух таких плат.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 (уровень сигнала, пропускная способность, задержка и потери пакетов), их сопоставление с теоретической оценкой и с IEEE 802.11 на той же аппаратной платформе, а также рекомендации по применению технологии для связи с БПЛА.</w:t>
      </w:r>
    </w:p>
    <w:p>
      <w:r>
        <w:t>Целью экономической части является технико-экономическое обоснование НИР по методике [39]: оценка её целесообразности по индексу научно-технической прогрессивности, планирование работ, определение затрат, себестоимости, цены и рентабельности, оценка экономической эффективности и срока окупаемости. Расчёты выполнены в ценах сентября 2026 г. для работы, выполняемой в г. Москве.</w:t>
      </w:r>
    </w:p>
    <w:p>
      <w:pPr>
        <w:pStyle w:val="Heading2"/>
      </w:pPr>
      <w:r>
        <w:t>4.1 Оценка целесообразности выполнения НИР</w:t>
      </w:r>
    </w:p>
    <w:p>
      <w:r>
        <w:t>Целесообразность НИР оценивается индексом научно-технической прогрессивности, который определяется сравнением НТПр с аналогом, выбранным за базу для сравнения. Сравнение выполняется методом балльных оценок по трём признакам: научно-технический уровень (новизна), перспективность и возможность применения результатов; баллы назначаются по нормативным шкалам [39].</w:t>
      </w:r>
    </w:p>
    <w:p>
      <w:r>
        <w:t>Помимо используемой в работе платы LilyGO T-HaLow на чипсете Taixin стоимостью 3 198 руб. [27] на рынке представлены платы и оценочные комплекты на чипсетах Newracom, требующие внешнего хост-компьютера или поставляемые по запросу [28, 29, 30], и Morse Micro. Единственный оценочный комплект производителя чипсета с открытой ценой и поставкой в Российскую Федерацию — Morse Micro MM6108-EKH05 стоимостью 39 620 руб. [31]. За базу для сравнения принят распространённый подход к оценке Wi-Fi HaLow — испытания по методике производителя на таких комплектах: измерение дальности и пропускной способности без сопоставления с теоретической оценкой и без сравнения с IEEE 802.11 в идентичных условиях.</w:t>
      </w:r>
    </w:p>
    <w:p>
      <w:r>
        <w:t>Базовый вариант воспроизводит известные испытания, его результаты привязаны к конкретному комплекту и применимы на уровне отдельного предприятия после адаптации в срок 3–5 лет: новизна — 3 балла («приближается к мировым достижениям»), перспективность — 5 («важная»), возможность применения — 3. В настоящей работе теоретические модели распространения радиоволн проверяются натурно с определением их параметров и границ применимости, а Wi-Fi HaLow сравнивается с IEEE 802.11 на одной аппаратной платформе (ESP32-S3 имеет собственный радиотракт 2,4 ГГц), что исключает влияние различий оборудования, — 5 баллов; более высокая оценка не принята, так как исследована статичная конфигурация «точка — точка». Результаты непосредственно используются при проектировании каналов связи с БПЛА, а натурных данных для серийных модулей Wi-Fi HaLow, появившихся в 2024–2025 гг., немного, — 7 баллов. Результаты получены на серийной платформе и применимы разработчиками систем связи БПЛА на уровне отрасли в срок до 3 лет — 8 баллов. Значимость признаков принята по [39], результаты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757"/>
        <w:gridCol w:w="2040"/>
        <w:gridCol w:w="204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свойств НТПр, выбранной за базу для сравнения, баллы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свойств НТПр — результата ВКР, баллы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НТП.Н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НТП.Б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НТП.Н</m:t>
            </m:r>
          </m:sub>
        </m:sSub>
      </m:oMath>
      <w: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НТП.Б</m:t>
            </m:r>
          </m:sub>
        </m:sSub>
      </m:oMath>
      <w:r>
        <w:t xml:space="preserve"> – обобщённые количественные показатели научно-технического уровня НТПр — результата работы и базового варианта: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i-го признака, баллы (таблица 4.1); </w:t>
      </w:r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значимость i-го признака, доли единицы.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+ 7·0,4 + 8·0,2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6,4;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3·0,4 + 5·0,4 + 3·0,2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3,8.</m:t>
        </m:r>
      </m:oMath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6,4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3,8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1,68.</m:t>
        </m:r>
      </m:oMath>
    </w:p>
    <w:p>
      <w:r>
        <w:t>Индекс научно-технической прогрессивности превышает единицу (1,68 &gt; 1), следовательно, выполнение НИР является целесообразным.</w:t>
      </w:r>
    </w:p>
    <w:p>
      <w:r>
        <w:t>Новизна НТПр оценивается по пяти критериям: принципиально новое — 5 баллов, новое — 3, улучшенное — 2, существующего уровня — 1, устаревшее — 0 [39] (таблица 4.2).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передачи видео по Wi-Fi HaLow на серийной плате с одновременной регистрацией показателей канала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платформе, сопоставление с теоретической оценкой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стоимость аппаратной платформы стенда снижена по сравнению с оценочным комплектом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9</w:t>
            </w:r>
          </w:p>
        </w:tc>
      </w:tr>
    </w:tbl>
    <w:p>
      <w:pPr>
        <w:spacing w:line="240" w:lineRule="auto"/>
      </w:pPr>
    </w:p>
    <w:p>
      <w:pPr>
        <w:keepNext/>
      </w:pPr>
      <w:r>
        <w:t>Показатель новизны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Н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0,36,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Результат НИР является новым по функциональному критерию и улучшенным по технологическому и производственному; период эффективности новых технологий 2–3 года [39] согласуется с принятым периодом применения результатов — до 3 лет.</w:t>
      </w:r>
    </w:p>
    <w:p>
      <w:pPr>
        <w:pStyle w:val="Heading2"/>
      </w:pPr>
      <w:r>
        <w:t>4.2 Планирование работы</w:t>
      </w:r>
    </w:p>
    <w:p>
      <w:r>
        <w:t>Состав работ определён по разделам и этапам задания на ВКР, удельный вес трудоёмкости стадий принят по заданию. Общая трудоёмкость НИР T = 800 чел.-ч определена экспертно как сумма трудоёмкостей работ исполнителей: Р — руководитель НИР, И — инженер-исследователь, П — инженер-программист, Т — техник. Во вторую стадию входят теоретическая оценка канала, разработка программы и методики экспериментов, обновление встроенного программного обеспечения радиомодуля TX-AH, разработка программного обеспечения передатчика и приёмника и отладка стенда; в третью — измерения характеристик Wi-Fi HaLow и IEEE 802.11 на одной аппаратной платформе и обработка результатов.</w:t>
      </w:r>
    </w:p>
    <w:p>
      <w:pPr>
        <w:keepNext/>
      </w:pPr>
      <w:r>
        <w:t>Производственный цикл j-й стадии в рабочих днях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ц.j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рд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q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трудоёмкость стадии, чел.-ч;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рд</m:t>
            </m:r>
          </m:sub>
        </m:sSub>
      </m:oMath>
      <w:r>
        <w:t xml:space="preserve"> – продолжительность рабочего дня, 8 ч;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число исполнителей, одновременно участвующих в работах стадии.</w:t>
      </w:r>
    </w:p>
    <w:p>
      <w:r>
        <w:t xml:space="preserve">На первой и второй стадиях параллельно работают инженер-исследователь и инженер-программист (q = 2). На третьей стадии полевые измерения требуют присутствия двух исполнителей у передающего и приёмного пунктов, а инженер-программист сопровождает программное обеспечение стенда и сбор данных (q = 3). На шестой стадии результаты обобщаются совместно с руководителем (q = 2), на четвёртой и пятой q = 1. Длительность стадии в календарных днях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к.j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1,4·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ц.j</m:t>
            </m:r>
          </m:sub>
        </m:sSub>
      </m:oMath>
      <w:r>
        <w:t xml:space="preserve"> [39]. При начале работ 09.10.2026 и суммарной длительности 73 календарных дня НИР завершается 20.12.2026, каждая стадия — не позднее срока по заданию на ВКР (таблица 4.3).</w:t>
      </w:r>
    </w:p>
    <w:p>
      <w:pPr>
        <w:pStyle w:val="TableCaption"/>
        <w:ind w:firstLine="0"/>
      </w:pPr>
      <w:r>
        <w:t>Таблица 4.3 – Трудоёмкость и календарный план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"/>
        <w:gridCol w:w="2551"/>
        <w:gridCol w:w="623"/>
        <w:gridCol w:w="1133"/>
        <w:gridCol w:w="850"/>
        <w:gridCol w:w="396"/>
        <w:gridCol w:w="680"/>
        <w:gridCol w:w="680"/>
        <w:gridCol w:w="1190"/>
        <w:gridCol w:w="850"/>
      </w:tblGrid>
      <w:tr>
        <w:trPr>
          <w:cantSplit/>
          <w:tblHeader w:val="true"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стадии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Доля, %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тели, чел.-ч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чел.-ч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q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Tц, раб. дн.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Tк, кал. дн.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Сроки выполнения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Срок по заданию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8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56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56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09.10–19.10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22.10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Обоснование необходимости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16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88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96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12,5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20.10–06.11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11.11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Серия экспериментов, сравнение с другими протоколами, в том числе с IEEE 802.11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112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 — 104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104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320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13,3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07.11–25.11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08.12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64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64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26.11–06.12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Охрана труда и окружающей среды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64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64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07.12–17.12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Основные результаты и выводы, предложения по интеграции в существующие модели БПЛА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16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18.12–20.12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21.12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100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800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51,3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73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09.10–20.12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4.3 Определение затрат, себестоимости и цены НИР</w:t>
      </w:r>
    </w:p>
    <w:p>
      <w:r>
        <w:t>Основной статьёй затрат НИР является оплата труда. Месячные оклады приняты по медианам предложений работодателей г. Москвы на портале hh.ru [40]; суммы «на руки» пересчитаны в начисленные делением на 0,87 [41]. Оклад инженера-исследователя и инженера-программиста составляет 102 900 руб. (медиана 11 предложений для инженеров без опыта работы), техника — 90 000 руб. (4 предложения для техников без опыта), руководителя НИР — 175 000 руб. (9 предложений для специалистов с опытом 3–6 лет). Часовая ставка равна окладу, делённому на среднемесячный фонд рабочего времени 1 972/12 = 164,33 ч [42]: 626, 548 и 1 065 руб./ч соответственно.</w:t>
      </w:r>
    </w:p>
    <w:p>
      <w:pPr>
        <w:keepNext/>
      </w:pPr>
      <w:r>
        <w:t>Заработная плата по стадиям работ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ЗП.j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bar>
                <m:barPr>
                  <m:pos m:val="top"/>
                </m:bar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трудоёмкость j-й стадии, чел.-дн.; </w:t>
      </w:r>
      <m:oMath>
        <m:bar>
          <m:barPr>
            <m:pos m:val="top"/>
          </m:barPr>
          <m:e>
            <m:sSub>
              <m:e>
                <m:r>
                  <w:rPr>
                    <w:rFonts w:ascii="Cambria Math" w:hAnsi="Cambria Math"/>
                  </w:rPr>
                  <m:t xml:space="preserve">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j</m:t>
                </m:r>
              </m:sub>
            </m:sSub>
          </m:e>
        </m:bar>
      </m:oMath>
      <w:r>
        <w:t xml:space="preserve"> – средняя дневная ставка стадии, руб., средневзвешенная по трудоёмкости исполнителей (таблица 4.3).</w:t>
      </w:r>
    </w:p>
    <w:p>
      <w:r>
        <w:t>Расчёт приведён в таблице 4.4.</w:t>
      </w:r>
    </w:p>
    <w:p>
      <w:pPr>
        <w:pStyle w:val="TableCaption"/>
        <w:ind w:firstLine="0"/>
      </w:pPr>
      <w:r>
        <w:t>Таблица 4.4 – Расчёт заработной платы персонала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793"/>
        <w:gridCol w:w="1247"/>
        <w:gridCol w:w="2494"/>
        <w:gridCol w:w="1020"/>
        <w:gridCol w:w="1247"/>
        <w:gridCol w:w="1360"/>
        <w:gridCol w:w="1190"/>
      </w:tblGrid>
      <w:tr>
        <w:trPr>
          <w:cantSplit/>
          <w:tblHeader w:val="true"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стадии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 стадии, чел.-дн.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Средняя дневная ставка, руб.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5 242,1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78 632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5 289,0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132 224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4 805,2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192 208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4 384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40 064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40 064</w:t>
            </w:r>
          </w:p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6 764,0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27 056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8163"/>
            <w:gridSpan w:val="6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 по тарифным ставкам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510 248</w:t>
            </w:r>
          </w:p>
        </w:tc>
      </w:tr>
    </w:tbl>
    <w:p>
      <w:pPr>
        <w:spacing w:line="240" w:lineRule="auto"/>
      </w:pPr>
    </w:p>
    <w:p>
      <w:pPr>
        <w:keepNext/>
      </w:pPr>
      <w:r>
        <w:t>С учётом премиальных выплат 20 % [39] основная заработная плата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ЗП.осн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пр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nary>
                <m:naryPr>
                  <m:chr m:val="∑"/>
                  <m:limLoc m:val="undOvr"/>
                  <m:supHide m:val="1"/>
                </m:naryPr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  <m:sup/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ЗП.j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1,2·510 248 = 612 298 руб.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pPr>
        <w:keepNext/>
      </w:pPr>
      <w:r>
        <w:t>Дополнительная заработная плата — оплата ежегодного отпуска 28 календарных (20 рабочих) дней при 247 рабочих днях в 2026 г. [42]: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доп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247 − 20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0,088;   </m:t>
        </m:r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ЗП.доп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0,088·612 298 = 53 882 руб.</m:t>
        </m:r>
      </m:oMath>
    </w:p>
    <w:p>
      <w:r>
        <w:t>Фонд оплаты труда (ФОТ) составляет 612 298 + 53 882 = 666 180 руб. Отчисления на социальные нужды включают страховые взносы по единому тарифу 30 % (выплаты исполнителям не превышают предельной базы 2 979 000 руб. на 2026 г. [41, 43]) и взносы на страхование от несчастных случаев 0,2 % (I класс профессионального риска): 0,302·666 180 = 201 186 руб.</w:t>
      </w:r>
    </w:p>
    <w:p>
      <w:r>
        <w:t>Материальные затраты включают покупные комплектующие изделия для экспериментального стенда и канцелярские товары (таблица 4.5), а также электроэнергию. Две платы LilyGO T-HaLow образуют канал «точка — точка»: передающая плата с камерой OV5640 работает в режиме точки доступа, приёмная — в режиме станции. Цена платы 37,98 долл. США [27] по курсу Банка России 84,1975 руб./долл. на 20.09.2026 [44] составляет 3 198 руб. Микросхемы флеш-памяти и программатор нужны для резервного копирования и восстановления встроенного программного обеспечения радиомодуля TX-AH [45], аккумуляторы — для автономного питания плат на полевой площадке, штативы — для фиксации высоты антенн. Цены остальных позиций — средние розничные на сентябрь 2026 г.; канцелярские товары рассчитаны на печать около 2 500 листов.</w:t>
      </w:r>
    </w:p>
    <w:p>
      <w:pPr>
        <w:pStyle w:val="TableCaption"/>
        <w:ind w:firstLine="0"/>
      </w:pPr>
      <w:r>
        <w:t>Таблица 4.5 – Покупные комплектующие изделия и канцелярские товары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4875"/>
        <w:gridCol w:w="907"/>
        <w:gridCol w:w="907"/>
        <w:gridCol w:w="1020"/>
        <w:gridCol w:w="1133"/>
      </w:tblGrid>
      <w:tr>
        <w:trPr>
          <w:cantSplit/>
          <w:tblHeader w:val="true"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 изм.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Отладочная плата LilyGO T-HaLow V1.0, ревизия 24-08-23 (ESP32-S3 + TX-AH-R900P, 859–894 МГц)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3 198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Модуль камеры OV5640, 24 pin (основной и запасной)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1 100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Кабель USB Type-C с передачей данных, 1 м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350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450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7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8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Штатив для установки плат на заданной высоте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1 500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3 000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9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550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10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3 200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11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Канцелярские принадлежности: ручки, карандаши, скрепки, скобы, файлы, папки, тетради для журналов полевых измерений, маркеры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27 560</w:t>
            </w:r>
          </w:p>
        </w:tc>
      </w:tr>
    </w:tbl>
    <w:p>
      <w:pPr>
        <w:spacing w:line="240" w:lineRule="auto"/>
      </w:pPr>
    </w:p>
    <w:p>
      <w:r>
        <w:t xml:space="preserve">Затраты на электроэнергию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P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0,15·696·8,90 = 929</m:t>
        </m:r>
      </m:oMath>
      <w:r>
        <w:t xml:space="preserve"> руб., где P – мощность ПЭВМ с периферией и стендом, кВт;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время работы ПЭВМ, равное трудоёмкости всех исполнителей, кроме техника (800 − 104 = 696 ч);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</m:oMath>
      <w:r>
        <w:t xml:space="preserve"> – тариф в г. Москве с 01.10.2026, руб./(кВт·ч) [46]. Материальные затраты составляют 15 910 + 11 650 + 929 = 28 489 руб.</w:t>
      </w:r>
    </w:p>
    <w:p>
      <w:pPr>
        <w:keepNext/>
      </w:pPr>
      <w:r>
        <w:t xml:space="preserve">Амортизация ПЭВМ (балансовая стоимость </w:t>
      </w:r>
      <m:oMath>
        <m:sSub>
          <m:e>
            <m:r>
              <w:rPr>
                <w:rFonts w:ascii="Cambria Math" w:hAnsi="Cambria Math"/>
              </w:rPr>
              <m:t xml:space="preserve">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ПЭВМ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85 000</m:t>
        </m:r>
      </m:oMath>
      <w:r>
        <w:t xml:space="preserve"> руб., срок полезного использования 3 года — вторая амортизационная группа [47]) начисляется линейным способом пропорционально времени работы: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А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С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ПЭВМ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·</m:t>
            </m:r>
            <m:sSub>
              <m:e>
                <m:r>
                  <w:rPr>
                    <w:rFonts w:ascii="Cambria Math" w:hAnsi="Cambria Math"/>
                  </w:rPr>
                  <m:t xml:space="preserve"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м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Т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сл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·</m:t>
            </m:r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год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85 000·696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3·1 972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10 000 руб.</m:t>
        </m:r>
      </m:oMath>
    </w:p>
    <w:p>
      <w:r>
        <w:t>Накладные расходы приняты в размере 100 % от ФОТ, поскольку работа выполняется на базе кафедры; в типовой структуре затрат на НИР накладные расходы и заработная плата имеют одинаковый удельный вес — 34 % [39]. Прочие расходы (поездки на полевую площадку, связь, научно-техническая информация) — 10 % от ФОТ.</w:t>
      </w:r>
    </w:p>
    <w:p>
      <w:r>
        <w:t>Калькуляция себестоимости НИР приведена в таблице 4.6.</w:t>
      </w:r>
    </w:p>
    <w:p>
      <w:pPr>
        <w:pStyle w:val="TableCaption"/>
        <w:ind w:firstLine="0"/>
      </w:pPr>
      <w:r>
        <w:t>Таблица 4.6 – Калькуляция себестоимости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850"/>
        <w:gridCol w:w="5102"/>
        <w:gridCol w:w="1984"/>
        <w:gridCol w:w="1417"/>
      </w:tblGrid>
      <w:tr>
        <w:trPr>
          <w:cantSplit/>
          <w:tblHeader w:val="true"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№ п/п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Статья калькуляции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Затраты, руб.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Канцелярские товары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11 650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Покупные комплектующие изделия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15 910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1,0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Электроэнергия на технологические цели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929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Основная заработная плата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612 298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37,4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Дополнительная заработная плата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53 882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Отчисления на социальные нужды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201 186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12,3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Амортизация оборудования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10 000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0,6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 (100 % от ФОТ)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666 180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40,7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 (10 % от ФОТ)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66 618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 себестоимость НИР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4"/>
              </w:rPr>
              <w:t>1 638 653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100,0</w:t>
            </w:r>
          </w:p>
        </w:tc>
      </w:tr>
    </w:tbl>
    <w:p>
      <w:pPr>
        <w:spacing w:line="240" w:lineRule="auto"/>
      </w:pPr>
    </w:p>
    <w:p>
      <w:r>
        <w:t>Затраты, связанные с оплатой труда (заработная плата, отчисления, накладные и прочие расходы), составляют 97,7 % себестоимости, что характерно для НИР; материальные затраты — лишь 1,7 % благодаря недорогим серийным платам.</w:t>
      </w:r>
    </w:p>
    <w:p>
      <w:pPr>
        <w:keepNext/>
      </w:pPr>
      <w:r>
        <w:t>Цена НИР определяется исходя из обеспечения безубыточности деятельности организации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себестоимость НИР, руб.;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ФОТ, руб.;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[39].</w:t>
      </w:r>
    </w:p>
    <w:p>
      <w:pPr>
        <w:keepNext/>
      </w:pPr>
      <w:r>
        <w:t xml:space="preserve">Принято минимальное значение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200 %</m:t>
        </m:r>
      </m:oMath>
      <w:r>
        <w:t>, поскольку работа носит поисковый характер, а её результат не является серийным коммерческим продуктом: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1 638 653 + 666 180·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2 971 013 руб.</m:t>
        </m:r>
      </m:oMath>
    </w:p>
    <w:p>
      <w:pPr>
        <w:keepNext/>
      </w:pPr>
      <w:r>
        <w:t>Прибыль П = 2 971 013 − 1 638 653 = 1 332 360 руб. Рентабельность НИР по себестоимости: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П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·100 %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1 332 360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1 638 653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·100 % = 81,3 %.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r>
        <w:t>Рентабельность продаж составляет 44,8 %. Цена НИР покрывает все затраты на её выполнение и обеспечивает безубыточность деятельности организации.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pPr>
        <w:keepNext/>
      </w:pPr>
      <w:r>
        <w:t xml:space="preserve">Показателями экономической эффективности являются экономический эффект Э, уровень экономической эффективности Е и срок окупаемости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[39]. Результаты НИР используются при проектировании каналов связи с БПЛА, то есть НИР связана с повышением качества проектирования, и годовой экономический эффект определяется по формуле [39]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−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</m:oMath>
      <w: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затраты на выполнение темы в базовом и новом вариантах, руб.; </w:t>
      </w: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по формуле (4.1);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продолжительность разработки: 73/365 = 0,200 года.</w:t>
      </w:r>
    </w:p>
    <w:p>
      <w:pPr>
        <w:keepNext/>
      </w:pPr>
      <w:r>
        <w:t xml:space="preserve">Затраты нового варианта равны себестоимости НИР: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1 638 653</m:t>
        </m:r>
      </m:oMath>
      <w:r>
        <w:t xml:space="preserve"> руб. Базовый вариант предполагает тот же состав работ на оценочных комплектах MM6108-EKH05 вместо плат LilyGO T-HaLow; статьи, рассчитываемые от ФОТ, не меняются, а материальные затраты возрастают на </w:t>
      </w:r>
      <m:oMath>
        <m:r>
          <w:rPr>
            <w:rFonts w:ascii="Cambria Math" w:hAnsi="Cambria Math"/>
          </w:rPr>
          <m:t xml:space="preserve">ΔЗ</m:t>
        </m:r>
        <m:r>
          <m:rPr>
            <m:sty m:val="p"/>
          </m:rPr>
          <w:rPr>
            <w:rFonts w:ascii="Cambria Math" w:hAnsi="Cambria Math"/>
          </w:rPr>
          <m:t xml:space="preserve"> = 2·39 620 − 2·3 198 = 72 844</m:t>
        </m:r>
      </m:oMath>
      <w:r>
        <w:t xml:space="preserve"> руб., откуда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1 711 497</m:t>
        </m:r>
      </m:oMath>
      <w:r>
        <w:t xml:space="preserve"> руб. Срок поставки комплектов 7–8 недель [31] в денежном выражении не учитывается, что идёт в запас оценки. Экономический эффект: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1 711 497·1,68 − 1 638 653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0,200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6 183 310 руб./год.</m:t>
        </m:r>
      </m:oMath>
    </w:p>
    <w:p>
      <w:pPr>
        <w:keepNext/>
      </w:pPr>
      <w:r>
        <w:t>Уровень экономической эффективности затрат на НИР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Е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Э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6 183 310·1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2 971 013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2,08,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α</m:t>
        </m:r>
      </m:oMath>
      <w:r>
        <w:t xml:space="preserve"> – доля эффекта, приходящаяся на разработку; НИР выполняется одной организацией без соисполнителей, поэтому </w:t>
      </w:r>
      <m:oMath>
        <m:r>
          <w:rPr>
            <w:rFonts w:ascii="Cambria Math" w:hAnsi="Cambria Math"/>
          </w:rPr>
          <m:t xml:space="preserve">α</m:t>
        </m:r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;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– цена НИР, руб.</w:t>
      </w:r>
    </w:p>
    <w:p>
      <w:pPr>
        <w:keepNext/>
      </w:pPr>
      <w:r>
        <w:t>Срок окупаемости вложений в разработку: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Е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2,08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0,48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r>
        <w:t xml:space="preserve">Срок окупаемости составляет около 6 месяцев. Для наукоёмкой продукции уровень экономической эффективности должен быть не менее 0,5, то есть вложения должны окупаться в пределах двух лет [39]; полученные значения Е = 2,08 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0,48</m:t>
        </m:r>
      </m:oMath>
      <w:r>
        <w:t xml:space="preserve"> года этому требованию удовлетворяют.</w:t>
      </w:r>
    </w:p>
    <w:p>
      <w:pPr>
        <w:pStyle w:val="Heading2"/>
      </w:pPr>
      <w:r>
        <w:t>4.5 Выводы</w:t>
      </w:r>
    </w:p>
    <w:p>
      <w:r>
        <w:t>Технико-экономическое обоснование НИР показало следующее:</w:t>
      </w:r>
    </w:p>
    <w:p>
      <w:r>
        <w:t xml:space="preserve">– </w:t>
      </w:r>
      <w:r>
        <w:t>индекс научно-технической прогрессивности 1,68 &gt; 1, показатель новизны 0,36: выполнение НИР целесообразно;</w:t>
      </w:r>
    </w:p>
    <w:p>
      <w:r>
        <w:t xml:space="preserve">– </w:t>
      </w:r>
      <w:r>
        <w:t>трудоёмкость НИР 800 чел.-ч, продолжительность 73 календарных дня (09.10–20.12.2026), сроки задания на ВКР выполняются;</w:t>
      </w:r>
    </w:p>
    <w:p>
      <w:r>
        <w:t xml:space="preserve">– </w:t>
      </w:r>
      <w:r>
        <w:t>себестоимость НИР 1 638 653 руб., цена 2 971 013 руб., рентабельность по себестоимости 81,3 %;</w:t>
      </w:r>
    </w:p>
    <w:p>
      <w:r>
        <w:t xml:space="preserve">– </w:t>
      </w:r>
      <w:r>
        <w:t>годовой экономический эффект 6 183 310 руб., уровень экономической эффективности 2,08 при нормативе не менее 0,5, срок окупаемости 0,48 года (около 6 месяцев).</w:t>
      </w:r>
    </w:p>
    <w:p>
      <w:r>
        <w:t>Применение серийных плат LilyGO T-HaLow вместо оценочных комплектов производителя чипсета снижает стоимость аппаратной платформы в 12,4 раза. Разработка является научно-технически прогрессивной и экономически целесообразной.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