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[43]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[43].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[43].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[43]: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[43]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При минимальных оценках длиннее путь через работу 2–4 (59 дней против 57), при максимальных — через работы 2–3 и 3–4 (87 дней против 84); эти значения и приведены в итоговой строке таблицы 4.4.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[43].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[44]: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[45].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[43]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[46]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[28] по курсу 84,1975 руб./долл. на 20.09.2026 [47]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[43].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[43].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Накладные расходы составляют 556 238 руб., или 41,1 % себестоимости. В них входят:</w:t>
      </w:r>
    </w:p>
    <w:p>
      <w:r>
        <w:t xml:space="preserve">– </w:t>
      </w:r>
      <w:r>
        <w:t>аренда помещения, оплата электроэнергии (освещение помещения, питание компьютеров и стенда) и отопления — 20 % от заработной платы исполнителей: 0,2·541 284 = 108 257 руб.;</w:t>
      </w:r>
    </w:p>
    <w:p>
      <w:r>
        <w:t xml:space="preserve">– </w:t>
      </w:r>
      <w:r>
        <w:t>заработная плата административного и вспомогательного персонала, не участвующего в НИР (бухгалтерия, лаборанты, уборка помещений), и содержание вычислительной техники — остальные 447 981 руб.</w:t>
      </w:r>
    </w:p>
    <w:p>
      <w:r>
        <w:t>К прочим расходам отнесены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[43].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[43].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[43].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[43].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[48].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[43]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[43];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дней, при максимальных оценках длительности работ — не более 87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5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