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Окно — оконный блок из трёх створок в левой стене —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[53].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 (высота самих знаков — 1,1–5 мм, этот размер учитывается в оценке напряжённости, раздел 5.2.5);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[54].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−4,4 % и находится в пределах допуска −10…+20 %, принятого при проектировании освещения [57]. Допуск относится именно к этой, расчётной освещённости. Новые светильники дают больше —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[54];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— около 430 лк), расчёт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40–50 %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[54].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рассеиватель. Светильник с матовым рассеивателем светит по косинусному закону — тип кривой силы света Д [57]. Для косинусной кривой в таблице коэффициентов использования приведены два варианта, Д-1 и Д-2; принят Д-1: при нём коэффициент использования при любом индексе помещения меньше (при i = 1,25 — 58 % против 68 %), поэтому число светильников не занижается и расчёт идёт в запас.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73].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—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(−4,4 %) — в пределах допуска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— 287 лк при норме 300 лк (−4,4 %,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к концу срока службы освещённость 287 лк при норме 300 лк (−4,4 %, в пределах допуска −10…+20 %; новые —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