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[8] на платформе LilyGO T-HaLow по сравнению с традиционными протоколами Wi-Fi по дальности, уровню сигнала, задержке и потерям пакетов.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HaLow, их сравнение с IEEE 802.11 на той же аппаратной платформе и рекомендации по применению технологии для связи с БПЛА. Программы, написанные в ходе работы, служат средствами проведения эксперимента и самостоятельным программным продуктом не являются.</w:t>
      </w:r>
    </w:p>
    <w:p>
      <w:r>
        <w:t>Экономический эффект от применения результатов НИР должен перекрывать затраты на её выполнение. Для проверки этого по методике [39] выполняются:</w:t>
      </w:r>
    </w:p>
    <w:p>
      <w:r>
        <w:t xml:space="preserve">– </w:t>
      </w:r>
      <w:r>
        <w:t>оценка целесообразности НИР сравнением с существующим аналогом;</w:t>
      </w:r>
    </w:p>
    <w:p>
      <w:r>
        <w:t xml:space="preserve">– </w:t>
      </w:r>
      <w:r>
        <w:t>планирование работ: определение трудоёмкости и построение сетевого графика;</w:t>
      </w:r>
    </w:p>
    <w:p>
      <w:r>
        <w:t xml:space="preserve">– </w:t>
      </w:r>
      <w:r>
        <w:t>определение затрат, себестоимости и цены НИР;</w:t>
      </w:r>
    </w:p>
    <w:p>
      <w:r>
        <w:t xml:space="preserve">– </w:t>
      </w:r>
      <w:r>
        <w:t>оценка экономической эффективности и срока окупаемости;</w:t>
      </w:r>
    </w:p>
    <w:p>
      <w:r>
        <w:t xml:space="preserve">– </w:t>
      </w:r>
      <w:r>
        <w:t>выводы.</w:t>
      </w:r>
    </w:p>
    <w:p>
      <w:r>
        <w:t>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проведения исследования</w:t>
      </w:r>
    </w:p>
    <w:p>
      <w:r>
        <w:t>Целесообразность НИР определяется индексом научно-технической прогрессивности — балльным сравнением НТПр с аналогом по трём признакам: научно-технический уровень (новизна), перспективность и возможность применения результатов. Баллы назначаются по ориентировочным шкалам методики [39], значимость признаков — по её таблице 2.3.</w:t>
      </w:r>
    </w:p>
    <w:p>
      <w:r>
        <w:t>Помимо используемой в работе платы LilyGO T-HaLow стоимостью 3 198 руб. [28] на рынке представлены оценочные комплекты производителей чипсетов Wi-Fi HaLow. Единственный из них с открытой ценой и поставкой в Российскую Федерацию — Morse Micro MM6108-EKH05 стоимостью 39 620 руб. [32]. За аналог принят распространённый подход к оценке Wi-Fi HaLow — испытания по методике производителя на таком комплекте: измерение дальности и пропускной способности без сопоставления с теоретической оценкой и без сравнения с IEEE 802.11 в одинаковых условиях.</w:t>
      </w:r>
    </w:p>
    <w:p>
      <w:r>
        <w:t>Аналог воспроизводит известные испытания, его результаты привязаны к конкретному комплекту и применимы на уровне отдельного предприятия в срок 3–5 лет: новизна — 3 балла («приближается к мировым достижениям»), перспективность — 5 («важная»), возможность применения — 3. В настоящей работе модели распространения радиоволн проверяются экспериментально, а Wi-Fi HaLow сравнивается с IEEE 802.11 на одной аппаратной платформе, что исключает влияние различий оборудования, — 5 баллов. Результаты непосредственно используются при проектировании каналов связи с БПЛА, а натурных данных для серийных модулей Wi-Fi HaLow немного — 7 баллов. Результаты получены на серийной платформе и применимы разработчиками систем связи БПЛА на уровне отрасли в срок до 3 лет — 8 баллов.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показатели научно-технического уровня НТПр — результата работы и аналога: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больше единицы (1,68 &gt; 1), следовательно, НИР превосходит аналог по научно-технической прогрессивности и её проведение целесообразно.</w:t>
      </w:r>
    </w:p>
    <w:p>
      <w:r>
        <w:t>Новизна НТПр оценивается по пяти критериям ориентировочной шкалы методики [39]: принципиально новое — 5 баллов, новое — 3, улучшенное — 2, существующего уровня — 1, устаревшее — 0. Оценка приведена в таблице 4.2.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является новым по функциональному критерию и улучшенным по технологическому и производственному. Период эффективности новых технологий 2–3 года [39] согласуется с принятым сроком применения результатов — до 3 лет.</w:t>
      </w:r>
    </w:p>
    <w:p>
      <w:pPr>
        <w:pStyle w:val="Heading2"/>
      </w:pPr>
      <w:r>
        <w:t>4.2 Планирование разработки</w:t>
      </w:r>
    </w:p>
    <w:p>
      <w:r>
        <w:t>НИР делится на четыре стадии [39]: подготовительную, теоретическую разработку, экспериментальные работы и заключительную. Трудоёмкость стадий определена по работам сетевого графика: продолжительность работы в календарных днях переведена в рабочие делением на 1,4 [39] и умножена на число исполнителей. Результаты — в таблице 4.3.</w:t>
      </w:r>
    </w:p>
    <w:p>
      <w:pPr>
        <w:pStyle w:val="TableCaption"/>
        <w:ind w:firstLine="0"/>
      </w:pPr>
      <w:r>
        <w:t>Таблица 4.3 – Трудоёмкость разработки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2154"/>
        <w:gridCol w:w="4081"/>
        <w:gridCol w:w="1360"/>
        <w:gridCol w:w="1303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 стадии</w:t>
            </w:r>
          </w:p>
        </w:tc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Выполняемые работы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Трудоёмкость, чел.-дн.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Подготовительная стадия</w:t>
            </w:r>
          </w:p>
        </w:tc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Теоретическая разработка</w:t>
            </w:r>
          </w:p>
        </w:tc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Методика экспериментов; программное обеспечение экспериментального стенда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23,5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Экспериментальные работы</w:t>
            </w:r>
          </w:p>
        </w:tc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Серия экспериментов, сравнение с IEEE 802.11 на той же аппаратной платформе, обработка результатов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54,3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Заключительная стадия</w:t>
            </w:r>
          </w:p>
        </w:tc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Экономическая часть, охрана труда, выводы и оформление отчёта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30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100</w:t>
            </w:r>
          </w:p>
        </w:tc>
      </w:tr>
    </w:tbl>
    <w:p>
      <w:pPr>
        <w:spacing w:line="240" w:lineRule="auto"/>
      </w:pPr>
    </w:p>
    <w:p>
      <w:r>
        <w:t>Наибольшую долю составляют экспериментальные работы, что характерно для НИР: по типовой структуре трудозатрат методики на них приходится 61,8 % [39].</w:t>
      </w:r>
    </w:p>
    <w:p>
      <w:pPr>
        <w:keepNext/>
      </w:pPr>
      <w:r>
        <w:t xml:space="preserve">Для наглядного представления структуры работ и их сроков построен сетевой график. Перечень работ и событий приведён в таблице 4.4, продолжительность — в календарных днях. Поскольку продолжительность работ НИР заранее точно не известна, для каждой работы задана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pStyle w:val="TableCaption"/>
        <w:ind w:firstLine="0"/>
      </w:pPr>
      <w:r>
        <w:t>Таблица 4.4 – Продолжительность работ сетевого графика,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251"/>
        <w:gridCol w:w="963"/>
        <w:gridCol w:w="963"/>
        <w:gridCol w:w="907"/>
        <w:gridCol w:w="623"/>
        <w:gridCol w:w="623"/>
        <w:gridCol w:w="623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Начальное событие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Конечное событие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Анализ вариантов канала связи с БПЛА, сравнение Wi-Fi HaLow с LoRa и IEEE 802.11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Разработка программного обеспечения стенда: передача видео и регистрация показателей канала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Измерение показателей Wi-Fi HaLow и IEEE 802.11 на одной аппаратной платформе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Обработка результатов, сравнение с теоретической оценкой и другими протоколами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Р, 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Экономическая часть, охрана труда, выводы и оформление отчёта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90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13</w:t>
            </w:r>
          </w:p>
        </w:tc>
      </w:tr>
    </w:tbl>
    <w:p>
      <w:pPr>
        <w:spacing w:line="240" w:lineRule="auto"/>
      </w:pPr>
    </w:p>
    <w:p>
      <w:r>
        <w:t>Исполнители: Р — руководитель НИР, И — инженер-исследователь, П — инженер-программист, Т — техник. Разработка методики (работа 2–3) и программного обеспечения стенда (работа 2–4) ведутся параллельно; измерения начинаются после завершения обеих, что показано фиктивной работой 3–4 нулевой продолжительности. Сетевой график приведён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(над стрелкой — ожидаемая продолжительность, кал. дн.; жирные стрелки — критический путь, пунктир — фиктивная работа)</w:t>
      </w:r>
    </w:p>
    <w:p>
      <w:r>
        <w:t xml:space="preserve">Ранний срок начала работы равен раннему сроку её начального события, поздний срок окончания — позднему сроку конечного события; полный резерв работы </w:t>
      </w:r>
      <m:oMath>
        <m:r>
          <w:rPr>
            <w:rFonts w:ascii="Cambria Math" w:hAnsi="Cambria Math"/>
          </w:rPr>
          <m:t xml:space="preserve">R</m:t>
        </m:r>
        <m:r>
          <m:rPr>
            <m:sty m:val="p"/>
          </m:rPr>
          <w:rPr>
            <w:rFonts w:ascii="Cambria Math" w:hAnsi="Cambria Math"/>
          </w:rPr>
          <m:t xml:space="preserve">(ij) = 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(j) − 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(i) − t(ij)</m:t>
        </m:r>
      </m:oMath>
      <w:r>
        <w:t xml:space="preserve"> [39]. Параметры сетевого графика приведены в таблице 4.5.</w:t>
      </w:r>
    </w:p>
    <w:p>
      <w:pPr>
        <w:pStyle w:val="TableCaption"/>
        <w:ind w:firstLine="0"/>
      </w:pPr>
      <w:r>
        <w:t>Таблица 4.5 – Основные параметры сетевого графика,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Работа (ij)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t(ij)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tрн(ij)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tпн(ij)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tро(ij)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tпо(ij)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R(ij)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3–4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4–5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5–6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Критический путь 1–2–4–5–6–7 составляет 73 календарных дня. При начале работ 09.10.2026 НИР завершается 20.12.2026, то есть в срок по заданию на ВКР (21.12.2026). Разработка методики экспериментов имеет резерв 10 дней и может выполняться с запасом по времени.</w:t>
      </w:r>
    </w:p>
    <w:p>
      <w:pPr>
        <w:pStyle w:val="Heading2"/>
      </w:pPr>
      <w:r>
        <w:t>4.3 Определение затрат, себестоимости и цены разработки</w:t>
      </w:r>
    </w:p>
    <w:p>
      <w:r>
        <w:t>Основной статьёй затрат НИР является оплата труда. Месячные оклады исполнителей приняты по медианам предложений работодателей г. Москвы на портале hh.ru [40]: руководитель НИР — 175 000 руб., инженер-исследователь и инженер-программист — 102 900 руб., техник — 90 000 руб. Дневная ставка равна окладу, умноженному на 12 и делённому на 247 рабочих дней 2026 г. [41].</w:t>
      </w:r>
    </w:p>
    <w:p>
      <w:pPr>
        <w:keepNext/>
      </w:pPr>
      <w:r>
        <w:t>Заработная плата по стадиям работ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 средневзвешенная по трудоёмкости исполнителей, руб. Расчёт приведён в таблице 4.6.</w:t>
      </w:r>
    </w:p>
    <w:p>
      <w:pPr>
        <w:pStyle w:val="TableCaption"/>
        <w:ind w:firstLine="0"/>
      </w:pPr>
      <w:r>
        <w:t>Таблица 4.6 – Расчёт заработной платы исполнителей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133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чел.-дн.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45 000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95 000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5 248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230 920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4 370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8 500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45 000</w:t>
            </w:r>
          </w:p>
        </w:tc>
      </w:tr>
      <w:tr>
        <w:trPr>
          <w:cantSplit/>
        </w:trPr>
        <w:tc>
          <w:tcPr>
            <w:tcW w:type="dxa" w:w="8277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415 920</w:t>
            </w:r>
          </w:p>
        </w:tc>
      </w:tr>
    </w:tbl>
    <w:p>
      <w:pPr>
        <w:spacing w:line="240" w:lineRule="auto"/>
      </w:pPr>
    </w:p>
    <w:p>
      <w:r>
        <w:t>С учётом премии 20 % [39] основная заработная плата составляет 1,2·415 920 = 499 104 руб. Дополнительная заработная плата — оплата ежегодного отпуска 28 календарных (20 рабочих) дней: 0,088·499 104 = 43 921 руб. Фонд оплаты труда (ФОТ) составляет 543 025 руб. Отчисления на социальные нужды — страховые взносы по единому тарифу 30 % [42] и взносы на страхование от несчастных случаев 0,2 %: 0,302·543 025 = 163 994 руб.</w:t>
      </w:r>
    </w:p>
    <w:p>
      <w:r>
        <w:t>Стоимость материалов и покупных комплектующих изделий определена прямым счётом [39] (таблица 4.7). Две платы LilyGO T-HaLow образуют канал «точка — точка»; цена платы 37,98 долл. США [28] по курсу 84,1975 руб./долл. на 20.09.2026 [43] составляет 3 198 руб. Флеш-память и программатор нужны для резервного копирования и восстановления встроенного программного обеспечения радиомодуля, аккумуляторы — для автономного питания плат; материалы — на печать записки, методики и протоколов.</w:t>
      </w:r>
    </w:p>
    <w:p>
      <w:pPr>
        <w:pStyle w:val="TableCaption"/>
        <w:ind w:firstLine="0"/>
      </w:pPr>
      <w:r>
        <w:t>Таблица 4.7 – Стоимость материалов и покупных комплектующих изделий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4818"/>
        <w:gridCol w:w="850"/>
        <w:gridCol w:w="850"/>
        <w:gridCol w:w="1133"/>
        <w:gridCol w:w="1247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Ед.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Цена, руб.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Отладочная плата LilyGO T-HaLow (ESP32-S3 + TX-AH-R900P)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3 198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6 396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Модуль камеры OV5640 (основной и запасной)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1 100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Микросхема флеш-памяти W25Q32JVSSIQ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Программатор CH341A с зажимом SOIC-8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Кабель USB Type-C с передачей данных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Аккумулятор Li-Ion 18650, 3000 мА·ч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1 800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Зарядное устройство для аккумуляторов 18650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900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Бумага офисная А4, 500 листов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пачка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2 750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Картридж для лазерного принтера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шт.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3 200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6 400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Канцелярские принадлежности, журналы полевых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компл.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2 500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2 500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481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24 560</w:t>
            </w:r>
          </w:p>
        </w:tc>
      </w:tr>
    </w:tbl>
    <w:p>
      <w:pPr>
        <w:spacing w:line="240" w:lineRule="auto"/>
      </w:pPr>
    </w:p>
    <w:p>
      <w:pPr>
        <w:keepNext/>
      </w:pPr>
      <w:r>
        <w:t>Накладные расходы определяются по отношению к заработной плате исполнителей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накл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накл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543 025·1,0 = 543 025 руб.,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накл</m:t>
            </m:r>
          </m:sub>
        </m:sSub>
      </m:oMath>
      <w:r>
        <w:t xml:space="preserve"> – коэффициент накладных расходов, 1,0–2,0 [39]; принято минимальное значение, поскольку работа выполняется на базе кафедры. Прочие расходы (связь, поездки на полевую площадку, научно-техническая информация) — 10 % от ФОТ.</w:t>
      </w:r>
    </w:p>
    <w:p>
      <w:r>
        <w:t>Затраты на НИР сведены в таблицу 4.8.</w:t>
      </w:r>
    </w:p>
    <w:p>
      <w:pPr>
        <w:pStyle w:val="TableCaption"/>
        <w:ind w:firstLine="0"/>
      </w:pPr>
      <w:r>
        <w:t>Таблица 4.8 – Затраты на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"/>
        <w:gridCol w:w="5669"/>
        <w:gridCol w:w="1700"/>
        <w:gridCol w:w="1417"/>
      </w:tblGrid>
      <w:tr>
        <w:trPr>
          <w:cantSplit/>
          <w:tblHeader w:val="true"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статьи затрат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Удельный вес, %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Материалы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0,9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12 910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Заработная плата исполнителей (основная и дополнительная)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543 025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40,9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163 994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543 025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40,9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54 302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1 328 906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</w:t>
            </w:r>
          </w:p>
        </w:tc>
      </w:tr>
    </w:tbl>
    <w:p>
      <w:pPr>
        <w:spacing w:line="240" w:lineRule="auto"/>
      </w:pPr>
    </w:p>
    <w:p>
      <w:r>
        <w:t xml:space="preserve">Оплата труда с отчислениями составляет 53,2 % себестоимости. По типовой структуре затрат на НИР [39] эта доля равна 46 %, и укрупнённый расчёт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(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соц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)/0,46</m:t>
        </m:r>
      </m:oMath>
      <w:r>
        <w:t xml:space="preserve"> дал бы 1 536 998 руб.; прямой счёт даёт меньшую себестоимость, поскольку специального оборудования и работ сторонних организаций в НИР нет.</w:t>
      </w:r>
    </w:p>
    <w:p>
      <w:pPr>
        <w:keepNext/>
      </w:pPr>
      <w:r>
        <w:t>Цена НИР определяется исходя из обеспечения безубыточности организации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[39]; принято минимальное значение 200 %, поскольку работа носит поисковый характер: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1 328 906 + 543 025·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2 414 956 руб.</m:t>
        </m:r>
      </m:oMath>
    </w:p>
    <w:p>
      <w:r>
        <w:t>Прибыль составляет 1 086 050 руб., рентабельность по себестоимости 81,7 %.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Основными показателями экономической эффективности являются экономический эффект Э, уровень экономической эффективности Е и срок окупаемости вложений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[39].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1 328 906</m:t>
        </m:r>
      </m:oMath>
      <w:r>
        <w:t xml:space="preserve"> руб. Базовый вариант — тот же состав работ на оценочных комплектах MM6108-EKH05 вместо плат LilyGO T-HaLow;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2·(39 620 − 3 198)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1 401 750</m:t>
        </m:r>
      </m:oMath>
      <w:r>
        <w:t xml:space="preserve"> руб.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1 401 750·1,68 − 1 328 906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5 130 170 руб./год.</m:t>
        </m:r>
      </m:oMath>
    </w:p>
    <w:p>
      <w:pPr>
        <w:keepNext/>
      </w:pPr>
      <w:r>
        <w:t>Уровень экономической эффективности затрат на НИР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5 130 170·1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2 414 956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2,12,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>.</w:t>
      </w:r>
    </w:p>
    <w:p>
      <w:pPr>
        <w:keepNext/>
      </w:pPr>
      <w:r>
        <w:t>Срок окупаемости вложений: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2,12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0,47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r>
        <w:t>Срок окупаемости — около 6 месяцев. Для наукоёмкой продукции уровень эффективности должен быть не менее 0,5, то есть вложения должны окупаться в пределах двух лет [39]; полученное значение 2,12 этому требованию удовлетворяет.</w:t>
      </w:r>
    </w:p>
    <w:p>
      <w:pPr>
        <w:pStyle w:val="Heading2"/>
      </w:pPr>
      <w:r>
        <w:t>4.5 Выводы</w:t>
      </w:r>
    </w:p>
    <w:p>
      <w:r>
        <w:t>Основные технико-экономические показатели НИР приведены в таблице 4.9.</w:t>
      </w:r>
    </w:p>
    <w:p>
      <w:pPr>
        <w:pStyle w:val="TableCaption"/>
        <w:ind w:firstLine="0"/>
      </w:pPr>
      <w:r>
        <w:t>Таблица 4.9 – Технико-экономические показатели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236"/>
        <w:gridCol w:w="3118"/>
      </w:tblGrid>
      <w:tr>
        <w:trPr>
          <w:cantSplit/>
          <w:tblHeader w:val="true"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Индекс научно-технической прогрессивности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1,68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Показатель новизны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0,36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Трудоёмкость НИР, чел.-дн.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81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Продолжительность НИР (критический путь), кал. дн.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73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Себестоимость НИР, руб.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1 328 906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Цена НИР, руб.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2 414 956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Годовой экономический эффект, руб./год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5 130 170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Уровень экономической эффективности (норматив не менее 0,5)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2,12</w:t>
            </w:r>
          </w:p>
        </w:tc>
      </w:tr>
      <w:tr>
        <w:trPr>
          <w:cantSplit/>
        </w:trPr>
        <w:tc>
          <w:tcPr>
            <w:tcW w:type="dxa" w:w="623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Срок окупаемости, лет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0,47</w:t>
            </w:r>
          </w:p>
        </w:tc>
      </w:tr>
    </w:tbl>
    <w:p>
      <w:pPr>
        <w:spacing w:line="240" w:lineRule="auto"/>
      </w:pPr>
    </w:p>
    <w:p>
      <w:r>
        <w:t>Индекс научно-технической прогрессивности больше единицы, НИР выполняется в срок по заданию на ВКР, уровень экономической эффективности превышает норматив для наукоёмкой продукции. 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