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98 с., 9 рис., 36 табл., 66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[11,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[7];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каналов задают коэффициенты диапазонами и для своей геометрии.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 Модели потерь, предложенные для IEEE 802.11ah на частоте 900 МГц,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Поэтому опубликованные модели служат в работе эталоном для сравнения, а какое значение из диапазона соответствует трассе,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42.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43.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44.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45.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46.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47.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48.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49.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50.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51.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52.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53.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54.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55.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56.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57.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58.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59.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60.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61.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62.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63.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64.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65.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66.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