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диапазонах 2,4 и 5 ГГц дают десятки мегабит в секунду [6],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[7, 8]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98 с., 9 рис., 33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[13].</w:t>
      </w:r>
    </w:p>
    <w:p>
      <w:r>
        <w:t>Сети Wi-Fi стандартов IEEE 802.11n/ac/ax дают десятки и сотни мегабит в секунду [6],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[10,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[13].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[13].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[13] до моделей потерь, предложенных для IEEE 802.11ah на частоте 900 МГц [25]. Измерения они не отменяют по трём причинам. Первая — коэффициенты опубликованы диапазонами, а не значениями: для городской застройки n = 2,7–3,5 [13],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[25].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26],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[27]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[32]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[32]).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[33],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[13].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[34]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[35]; по пользовательским данным, канал управления ExpressLRS 900 МГц работал с БПЛА на 40,7 км при 10 мВт [36].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[37]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[36]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[37];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28.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29.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30.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31.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32.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33.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34.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35.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36.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37.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38.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39.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40.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41.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42.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43.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44.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45.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46.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47.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