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удалёнными объектами.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 с рабочей частотой 866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режиме пятидневной рабочей недели продолжительностью 8 ч с обеденным перерывом 1 ч, в положении сидя.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[О1].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[О2; О3].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[О3]. Для экрана 27″ проектное расстояние наблюдения стандартом не установлено [О4];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примерно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[О4] и ГОСТ Р 50923-96, параметры клавиатуры — ГОСТ Р ИСО 9241-4-2009 [О5].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[О6]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[О7], допустимые — СанПиН 1.2.3685-21 [О8].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[О8]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[О9; О10].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[О10].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[О9];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3,1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[О8].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на частоте 866 МГц с максимальной мощностью передатчика 20 дБм [О11].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[О8]: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—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[О8].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устанавливаются на штативах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[О12].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[О13].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[О14] и Правилами противопожарного режима в Российской Федерации [О15].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[О14]).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[О16]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[О17].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[О18].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(стенд, штативы)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[О18].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[О18].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[О19], используется одежда по погоде. Измерения не проводятся во время грозы; штативы с антеннами устанавливаются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[О20; О21],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[О22]; оценка по отдельным факторам и итоговый класс определяются по Методике проведения специальной оценки условий труда [О23]: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—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p>
      <w:pPr>
        <w:pStyle w:val="Heading2"/>
      </w:pPr>
      <w:r>
        <w:t>Источники к разделу 5</w:t>
      </w:r>
    </w:p>
    <w:p>
      <w:pPr>
        <w:ind w:firstLine="0"/>
        <w:jc w:val="center"/>
      </w:pPr>
      <w:r>
        <w:t>(номера [О1]–[О23] привести к сквозной нумерации общего списка использованных источников)</w:t>
      </w:r>
    </w:p>
    <w:p>
      <w:pPr>
        <w:ind w:firstLine="0"/>
        <w:jc w:val="left"/>
      </w:pPr>
      <w:r>
        <w:t>[О1] СП 2.2.3670-20. Санитарно-эпидемиологические требования к условиям труда: утв. постановлением Главного государственного санитарного врача РФ от 02.12.2020 № 40.</w:t>
      </w:r>
    </w:p>
    <w:p>
      <w:pPr>
        <w:ind w:firstLine="0"/>
        <w:jc w:val="left"/>
      </w:pPr>
      <w:r>
        <w:t>[О2] ГОСТ 12.2.032-78. Система стандартов безопасности труда. Рабочее место при выполнении работ сидя. Общие эргономические требования.</w:t>
      </w:r>
    </w:p>
    <w:p>
      <w:pPr>
        <w:ind w:firstLine="0"/>
        <w:jc w:val="left"/>
      </w:pPr>
      <w:r>
        <w:t>[О3] ГОСТ Р 50923-96. Дисплеи. Рабочее место оператора. Общие эргономические требования и требования к производственной среде. Методы измерения.</w:t>
      </w:r>
    </w:p>
    <w:p>
      <w:pPr>
        <w:ind w:firstLine="0"/>
        <w:jc w:val="left"/>
      </w:pPr>
      <w:r>
        <w:t>[О4] ГОСТ Р 50948-2001. Средства отображения информации индивидуального пользования. Общие эргономические требования и требования безопасности.</w:t>
      </w:r>
    </w:p>
    <w:p>
      <w:pPr>
        <w:ind w:firstLine="0"/>
        <w:jc w:val="left"/>
      </w:pPr>
      <w:r>
        <w:t>[О5]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клавиатуре.</w:t>
      </w:r>
    </w:p>
    <w:p>
      <w:pPr>
        <w:ind w:firstLine="0"/>
        <w:jc w:val="left"/>
      </w:pPr>
      <w:r>
        <w:t>[О6] ГОСТ 12.0.003-2015. Система стандартов безопасности труда. Опасные и вредные производственные факторы. Классификация.</w:t>
      </w:r>
    </w:p>
    <w:p>
      <w:pPr>
        <w:ind w:firstLine="0"/>
        <w:jc w:val="left"/>
      </w:pPr>
      <w:r>
        <w:t>[О7] ГОСТ 12.1.005-88. Система стандартов безопасности труда. Общие санитарно-гигиенические требования к воздуху рабочей зоны.</w:t>
      </w:r>
    </w:p>
    <w:p>
      <w:pPr>
        <w:ind w:firstLine="0"/>
        <w:jc w:val="left"/>
      </w:pPr>
      <w:r>
        <w:t>[О8] СанПиН 1.2.3685-21. Гигиенические нормативы и требования к обеспечению безопасности и (или) безвредности для человека факторов среды обитания: утв. постановлением Главного государственного санитарного врача РФ от 28.01.2021 № 2 (ред. от 24.12.2025).</w:t>
      </w:r>
    </w:p>
    <w:p>
      <w:pPr>
        <w:ind w:firstLine="0"/>
        <w:jc w:val="left"/>
      </w:pPr>
      <w:r>
        <w:t>[О9] СП 52.13330.2016. Естественное и искусственное освещение. Актуализированная редакция СНиП 23-05-95*.</w:t>
      </w:r>
    </w:p>
    <w:p>
      <w:pPr>
        <w:ind w:firstLine="0"/>
        <w:jc w:val="left"/>
      </w:pPr>
      <w:r>
        <w:t>[О10] Кнорринг Г. М., Фадин И. М., Сидоров В. Н. Справочная книга для проектирования электрического освещения. – 2-е изд., перераб. и доп. – СПб.: Энергоатомиздат, 1992. – 448 с.</w:t>
      </w:r>
    </w:p>
    <w:p>
      <w:pPr>
        <w:ind w:firstLine="0"/>
        <w:jc w:val="left"/>
      </w:pPr>
      <w:r>
        <w:t>[О11] T-Halow: AT command set // Xinyuan-LilyGO, GitHub. – URL: https://github.com/Xinyuan-LilyGO/T-Halow (дата обращения: 24.09.2026).</w:t>
      </w:r>
    </w:p>
    <w:p>
      <w:pPr>
        <w:ind w:firstLine="0"/>
        <w:jc w:val="left"/>
      </w:pPr>
      <w:r>
        <w:t>[О12] Правила устройства электроустановок. – 7-е изд. – Гл. 1.1.</w:t>
      </w:r>
    </w:p>
    <w:p>
      <w:pPr>
        <w:ind w:firstLine="0"/>
        <w:jc w:val="left"/>
      </w:pPr>
      <w:r>
        <w:t>[О13] ГОСТ 12.1.038-82. Система стандартов безопасности труда. Электробезопасность. Предельно допустимые значения напряжений прикосновения и токов.</w:t>
      </w:r>
    </w:p>
    <w:p>
      <w:pPr>
        <w:ind w:firstLine="0"/>
        <w:jc w:val="left"/>
      </w:pPr>
      <w:r>
        <w:t>[О14] Технический регламент о требованиях пожарной безопасности: Федеральный закон от 22.07.2008 № 123-ФЗ.</w:t>
      </w:r>
    </w:p>
    <w:p>
      <w:pPr>
        <w:ind w:firstLine="0"/>
        <w:jc w:val="left"/>
      </w:pPr>
      <w:r>
        <w:t>[О15] Об утверждении Правил противопожарного режима в Российской Федерации: постановление Правительства РФ от 16.09.2020 № 1479.</w:t>
      </w:r>
    </w:p>
    <w:p>
      <w:pPr>
        <w:ind w:firstLine="0"/>
        <w:jc w:val="left"/>
      </w:pPr>
      <w:r>
        <w:t>[О16] СП 12.13130.2009. Определение категорий помещений, зданий и наружных установок по взрывопожарной и пожарной опасности.</w:t>
      </w:r>
    </w:p>
    <w:p>
      <w:pPr>
        <w:ind w:firstLine="0"/>
        <w:jc w:val="left"/>
      </w:pPr>
      <w:r>
        <w:t>[О17] СП 9.13130.2009. Техника пожарная. Огнетушители. Требования к эксплуатации.</w:t>
      </w:r>
    </w:p>
    <w:p>
      <w:pPr>
        <w:ind w:firstLine="0"/>
        <w:jc w:val="left"/>
      </w:pPr>
      <w:r>
        <w:t>[О18] Р 2.2.2006-05. Руководство по гигиенической оценке факторов рабочей среды и трудового процесса. Критерии и классификация условий труда.</w:t>
      </w:r>
    </w:p>
    <w:p>
      <w:pPr>
        <w:ind w:firstLine="0"/>
        <w:jc w:val="left"/>
      </w:pPr>
      <w:r>
        <w:t>[О19] МР 2.2.7.2129-06. Режимы труда и отдыха работающих в холодное время на открытой территории или в неотапливаемых помещениях.</w:t>
      </w:r>
    </w:p>
    <w:p>
      <w:pPr>
        <w:ind w:firstLine="0"/>
        <w:jc w:val="left"/>
      </w:pPr>
      <w:r>
        <w:t>[О20] Об отходах производства и потребления: Федеральный закон от 24.06.1998 № 89-ФЗ.</w:t>
      </w:r>
    </w:p>
    <w:p>
      <w:pPr>
        <w:ind w:firstLine="0"/>
        <w:jc w:val="left"/>
      </w:pPr>
      <w:r>
        <w:t>[О21] Об утверждении перечня видов отходов производства и потребления, в состав которых входят полезные компоненты, захоронение которых запрещается: распоряжение Правительства РФ от 25.07.2017 № 1589-р.</w:t>
      </w:r>
    </w:p>
    <w:p>
      <w:pPr>
        <w:ind w:firstLine="0"/>
        <w:jc w:val="left"/>
      </w:pPr>
      <w:r>
        <w:t>[О22] О специальной оценке условий труда: Федеральный закон от 28.12.2013 № 426-ФЗ.</w:t>
      </w:r>
    </w:p>
    <w:p>
      <w:pPr>
        <w:ind w:firstLine="0"/>
        <w:jc w:val="left"/>
      </w:pPr>
      <w:r>
        <w:t>[О23]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заполнению: приказ Минтруда России от 21.11.2023 № 817н.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