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32</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34</w:t>
      </w:r>
    </w:p>
    <w:p>
      <w:pPr>
        <w:tabs>
          <w:tab w:pos="9354" w:val="right" w:leader="dot"/>
        </w:tabs>
        <w:ind w:firstLine="0" w:left="283" w:right="567"/>
        <w:jc w:val="left"/>
      </w:pPr>
      <w:r>
        <w:rPr>
          <w:b w:val="0"/>
        </w:rPr>
        <w:t>3.1 Условия испытаний</w:t>
        <w:tab/>
        <w:t>34</w:t>
      </w:r>
    </w:p>
    <w:p>
      <w:pPr>
        <w:tabs>
          <w:tab w:pos="9354" w:val="right" w:leader="dot"/>
        </w:tabs>
        <w:ind w:firstLine="0" w:left="283" w:right="567"/>
        <w:jc w:val="left"/>
      </w:pPr>
      <w:r>
        <w:rPr>
          <w:b w:val="0"/>
        </w:rPr>
        <w:t>3.2 Влияние полосы приёма (лабораторный этап)</w:t>
        <w:tab/>
        <w:t>34</w:t>
      </w:r>
    </w:p>
    <w:p>
      <w:pPr>
        <w:tabs>
          <w:tab w:pos="9354" w:val="right" w:leader="dot"/>
        </w:tabs>
        <w:ind w:firstLine="0" w:left="283" w:right="567"/>
        <w:jc w:val="left"/>
      </w:pPr>
      <w:r>
        <w:rPr>
          <w:b w:val="0"/>
        </w:rPr>
        <w:t>3.3 Пропускная способность платформы и ограничивающее звено</w:t>
        <w:tab/>
        <w:t>36</w:t>
      </w:r>
    </w:p>
    <w:p>
      <w:pPr>
        <w:tabs>
          <w:tab w:pos="9354" w:val="right" w:leader="dot"/>
        </w:tabs>
        <w:ind w:firstLine="0" w:left="283" w:right="567"/>
        <w:jc w:val="left"/>
      </w:pPr>
      <w:r>
        <w:rPr>
          <w:b w:val="0"/>
        </w:rPr>
        <w:t>3.4 Доработки канала передачи видео и итоговые результаты</w:t>
        <w:tab/>
        <w:t>40</w:t>
      </w:r>
    </w:p>
    <w:p>
      <w:pPr>
        <w:tabs>
          <w:tab w:pos="9354" w:val="right" w:leader="dot"/>
        </w:tabs>
        <w:ind w:firstLine="0" w:left="283" w:right="567"/>
        <w:jc w:val="left"/>
      </w:pPr>
      <w:r>
        <w:rPr>
          <w:b w:val="0"/>
        </w:rPr>
        <w:t>3.5 Искажения изображения камеры, наводка передатчика и выбор мощности</w:t>
        <w:tab/>
        <w:t>46</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48</w:t>
      </w:r>
    </w:p>
    <w:p>
      <w:pPr>
        <w:tabs>
          <w:tab w:pos="9354" w:val="right" w:leader="dot"/>
        </w:tabs>
        <w:ind w:firstLine="0" w:left="283" w:right="567"/>
        <w:jc w:val="left"/>
      </w:pPr>
      <w:r>
        <w:rPr>
          <w:b w:val="0"/>
        </w:rPr>
        <w:t>3.7 Сравнение с IEEE 802.11 (Wi-Fi 2,4 и 5 ГГц) и LoRa</w:t>
        <w:tab/>
        <w:t>52</w:t>
      </w:r>
    </w:p>
    <w:p>
      <w:pPr>
        <w:tabs>
          <w:tab w:pos="9354" w:val="right" w:leader="dot"/>
        </w:tabs>
        <w:ind w:firstLine="0" w:left="283" w:right="567"/>
        <w:jc w:val="left"/>
      </w:pPr>
      <w:r>
        <w:rPr>
          <w:b w:val="0"/>
        </w:rPr>
        <w:t>3.8 Выводы</w:t>
        <w:tab/>
        <w:t>59</w:t>
      </w:r>
    </w:p>
    <w:p>
      <w:pPr>
        <w:tabs>
          <w:tab w:pos="9354" w:val="right" w:leader="dot"/>
        </w:tabs>
        <w:ind w:firstLine="0" w:left="0" w:right="567"/>
        <w:jc w:val="left"/>
      </w:pPr>
      <w:r>
        <w:rPr>
          <w:b/>
        </w:rPr>
        <w:t>4 Экономическая часть</w:t>
        <w:tab/>
        <w:t>61</w:t>
      </w:r>
    </w:p>
    <w:p>
      <w:pPr>
        <w:tabs>
          <w:tab w:pos="9354" w:val="right" w:leader="dot"/>
        </w:tabs>
        <w:ind w:firstLine="0" w:left="283" w:right="567"/>
        <w:jc w:val="left"/>
      </w:pPr>
      <w:r>
        <w:rPr>
          <w:b w:val="0"/>
        </w:rPr>
        <w:t>4.1 Оценка целесообразности проведения исследования</w:t>
        <w:tab/>
        <w:t>62</w:t>
      </w:r>
    </w:p>
    <w:p>
      <w:pPr>
        <w:tabs>
          <w:tab w:pos="9354" w:val="right" w:leader="dot"/>
        </w:tabs>
        <w:ind w:firstLine="0" w:left="283" w:right="567"/>
        <w:jc w:val="left"/>
      </w:pPr>
      <w:r>
        <w:rPr>
          <w:b w:val="0"/>
        </w:rPr>
        <w:t>4.2 Планирование разработки</w:t>
        <w:tab/>
        <w:t>65</w:t>
      </w:r>
    </w:p>
    <w:p>
      <w:pPr>
        <w:tabs>
          <w:tab w:pos="9354" w:val="right" w:leader="dot"/>
        </w:tabs>
        <w:ind w:firstLine="0" w:left="283" w:right="567"/>
        <w:jc w:val="left"/>
      </w:pPr>
      <w:r>
        <w:rPr>
          <w:b w:val="0"/>
        </w:rPr>
        <w:t>4.3 Определение затрат, себестоимости и цены разработки</w:t>
        <w:tab/>
        <w:t>68</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72</w:t>
      </w:r>
    </w:p>
    <w:p>
      <w:pPr>
        <w:tabs>
          <w:tab w:pos="9354" w:val="right" w:leader="dot"/>
        </w:tabs>
        <w:ind w:firstLine="0" w:left="283" w:right="567"/>
        <w:jc w:val="left"/>
      </w:pPr>
      <w:r>
        <w:rPr>
          <w:b w:val="0"/>
        </w:rPr>
        <w:t>4.5 Выводы</w:t>
        <w:tab/>
        <w:t>74</w:t>
      </w:r>
    </w:p>
    <w:p>
      <w:pPr>
        <w:tabs>
          <w:tab w:pos="9354" w:val="right" w:leader="dot"/>
        </w:tabs>
        <w:ind w:firstLine="0" w:left="0" w:right="567"/>
        <w:jc w:val="left"/>
      </w:pPr>
      <w:r>
        <w:rPr>
          <w:b/>
        </w:rPr>
        <w:t>5 Охрана труда и окружающей среды</w:t>
        <w:tab/>
        <w:t>76</w:t>
      </w:r>
    </w:p>
    <w:p>
      <w:pPr>
        <w:tabs>
          <w:tab w:pos="9354" w:val="right" w:leader="dot"/>
        </w:tabs>
        <w:ind w:firstLine="0" w:left="283" w:right="567"/>
        <w:jc w:val="left"/>
      </w:pPr>
      <w:r>
        <w:rPr>
          <w:b w:val="0"/>
        </w:rPr>
        <w:t>Введение</w:t>
        <w:tab/>
        <w:t>76</w:t>
      </w:r>
    </w:p>
    <w:p>
      <w:pPr>
        <w:tabs>
          <w:tab w:pos="9354" w:val="right" w:leader="dot"/>
        </w:tabs>
        <w:ind w:firstLine="0" w:left="283" w:right="567"/>
        <w:jc w:val="left"/>
      </w:pPr>
      <w:r>
        <w:rPr>
          <w:b w:val="0"/>
        </w:rPr>
        <w:t>5.1 Оценка условий труда инженера</w:t>
        <w:tab/>
        <w:t>78</w:t>
      </w:r>
    </w:p>
    <w:p>
      <w:pPr>
        <w:tabs>
          <w:tab w:pos="9354" w:val="right" w:leader="dot"/>
        </w:tabs>
        <w:ind w:firstLine="0" w:left="283" w:right="567"/>
        <w:jc w:val="left"/>
      </w:pPr>
      <w:r>
        <w:rPr>
          <w:b w:val="0"/>
        </w:rPr>
        <w:t>5.2 Оценка условий труда по эргономическим параметрам</w:t>
        <w:tab/>
        <w:t>86</w:t>
      </w:r>
    </w:p>
    <w:p>
      <w:pPr>
        <w:tabs>
          <w:tab w:pos="9354" w:val="right" w:leader="dot"/>
        </w:tabs>
        <w:ind w:firstLine="0" w:left="283" w:right="567"/>
        <w:jc w:val="left"/>
      </w:pPr>
      <w:r>
        <w:rPr>
          <w:b w:val="0"/>
        </w:rPr>
        <w:t>5.3 Оценка помещения по электроопасности</w:t>
        <w:tab/>
        <w:t>88</w:t>
      </w:r>
    </w:p>
    <w:p>
      <w:pPr>
        <w:tabs>
          <w:tab w:pos="9354" w:val="right" w:leader="dot"/>
        </w:tabs>
        <w:ind w:firstLine="0" w:left="283" w:right="567"/>
        <w:jc w:val="left"/>
      </w:pPr>
      <w:r>
        <w:rPr>
          <w:b w:val="0"/>
        </w:rPr>
        <w:t>5.4 Классификация помещения по пожароопасности</w:t>
        <w:tab/>
        <w:t>89</w:t>
      </w:r>
    </w:p>
    <w:p>
      <w:pPr>
        <w:tabs>
          <w:tab w:pos="9354" w:val="right" w:leader="dot"/>
        </w:tabs>
        <w:ind w:firstLine="0" w:left="283" w:right="567"/>
        <w:jc w:val="left"/>
      </w:pPr>
      <w:r>
        <w:rPr>
          <w:b w:val="0"/>
        </w:rPr>
        <w:t>5.5 Расчёт искусственного освещения</w:t>
        <w:tab/>
        <w:t>90</w:t>
      </w:r>
    </w:p>
    <w:p>
      <w:pPr>
        <w:tabs>
          <w:tab w:pos="9354" w:val="right" w:leader="dot"/>
        </w:tabs>
        <w:ind w:firstLine="0" w:left="283" w:right="567"/>
        <w:jc w:val="left"/>
      </w:pPr>
      <w:r>
        <w:rPr>
          <w:b w:val="0"/>
        </w:rPr>
        <w:t>5.6 Выводы</w:t>
        <w:tab/>
        <w:t>94</w:t>
      </w:r>
    </w:p>
    <w:p>
      <w:pPr>
        <w:tabs>
          <w:tab w:pos="9354" w:val="right" w:leader="dot"/>
        </w:tabs>
        <w:ind w:firstLine="0" w:left="283" w:right="567"/>
        <w:jc w:val="left"/>
      </w:pPr>
      <w:r>
        <w:rPr>
          <w:b w:val="0"/>
        </w:rPr>
        <w:t>Список источников к разделу 5</w:t>
        <w:tab/>
        <w:t>95</w:t>
      </w:r>
    </w:p>
    <w:p>
      <w:pPr>
        <w:tabs>
          <w:tab w:pos="9354" w:val="right" w:leader="dot"/>
        </w:tabs>
        <w:ind w:firstLine="0" w:left="0" w:right="567"/>
        <w:jc w:val="left"/>
      </w:pPr>
      <w:r>
        <w:rPr>
          <w:b w:val="0"/>
        </w:rPr>
        <w:t>Заключение</w:t>
        <w:tab/>
        <w:t>101</w:t>
      </w:r>
    </w:p>
    <w:p>
      <w:pPr>
        <w:tabs>
          <w:tab w:pos="9354" w:val="right" w:leader="dot"/>
        </w:tabs>
        <w:ind w:firstLine="0" w:left="0" w:right="567"/>
        <w:jc w:val="left"/>
      </w:pPr>
      <w:r>
        <w:rPr>
          <w:b w:val="0"/>
        </w:rPr>
        <w:t>Список использованных источников</w:t>
        <w:tab/>
        <w:t>104</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109 с., 15 рис., 40 табл., 82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не хватает канала в свободном диапазоне — таком, который можно использовать без разрешения на частоты, соблюдая нормы ГКРЧ, — и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(14 дБм)</w:t>
            </w:r>
          </w:p>
        </w:tc>
        <w:tc>
          <w:tcPr>
            <w:tcW w:type="dxa" w:w="2494"/>
            <w:vAlign w:val="center"/>
          </w:tcPr>
          <w:p>
            <w:pPr>
              <w:pStyle w:val="TableText"/>
              <w:keepNext/>
              <w:jc w:val="center"/>
            </w:pPr>
            <w:r>
              <w:rPr>
                <w:sz w:val="22"/>
              </w:rPr>
              <w:t>25 мВт (14 дБм)</w:t>
            </w:r>
          </w:p>
        </w:tc>
        <w:tc>
          <w:tcPr>
            <w:tcW w:type="dxa" w:w="2324"/>
            <w:vAlign w:val="center"/>
          </w:tcPr>
          <w:p>
            <w:pPr>
              <w:pStyle w:val="TableText"/>
              <w:keepNext/>
              <w:jc w:val="center"/>
            </w:pPr>
            <w:r>
              <w:rPr>
                <w:sz w:val="22"/>
              </w:rPr>
              <w:t>100 мВт (20 дБм)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Канала в свободном диапазоне, сочетающего оба свойства, среди распространённых решений нет.</w:t>
      </w:r>
    </w:p>
    <w:p>
      <w:r>
        <w:t>2. Wi-Fi HaLow сочетает оба свойства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Высоты взяты по сценарию применения: 1,5 м — антенна наземного пункта в руках оператора или на штативе, такую же высоту антенны абонента у земли принимают модели каналов 3GPP [24]; 50 и 100 м — рабочие высоты БПЛА: визуальные полёты беспилотников массой до 30 кг разрешены на высотах менее 150 м [25].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приближение даёт верхнюю оценку потерь: асимптотическая формула двухлучевой модели [6] на 1 км для антенн 1,5 / 1,5 м даёт на 10 дБ меньше, а разница между высотами антенн в обоих случаях около 30 дБ)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30–38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а две модели, предложенные специально для IEEE 802.11ah, на 1 км расходятся на 12 дБ [27], и ни одна не выведена для антенн у земли. Кроме того, расчёт дальности опирается на паспортную чувствительность приёмника. По паспорту модуля при мощности 14 дБм и чувствительности −101 дБм на MCS 0 [17] связь сохраняется до потерь на трассе 115 дБ — на трассе прямой видимости это около 15,5 км. В опыте на паре плат (подраздел 3.6) связь оборвалась при потерях 95 дБ (≈ 1,55 км), а видео прекратилось при 92 дБ (≈ 1,10 км): уровень сигнала на границе связи составил −81 дБм, на 20 дБ выше паспортной чувствительности.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2–3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28],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[29].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в 2–3 раза: при одной и той же настройке синтетический поток за один вечер менялся от 302 до 590 кбит/с, а видео в одной точке давало 600–700 кбит/с днём и 228 кбит/с ночью.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[30]</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[31, 32]</w:t>
            </w:r>
          </w:p>
        </w:tc>
        <w:tc>
          <w:tcPr>
            <w:tcW w:type="dxa" w:w="2041"/>
            <w:vAlign w:val="center"/>
          </w:tcPr>
          <w:p>
            <w:pPr>
              <w:pStyle w:val="TableText"/>
              <w:keepNext/>
              <w:jc w:val="left"/>
            </w:pPr>
            <w:r>
              <w:rPr>
                <w:sz w:val="22"/>
              </w:rPr>
              <w:t>Morse Micro MM6108 [33]</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[34]</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[35, 36]</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[37]</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[38]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25–28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среднем в 1,8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[38]; добавлены команды регулятора мощности (AT+PWRCTL) и нижней границы модуляции (AT+MCSFLR). Подробности — в разделах 3.3 и 3.4.</w:t>
      </w:r>
    </w:p>
    <w:p>
      <w:r>
        <w:t xml:space="preserve">Окно программы просмотра показано на рисунке </w:t>
      </w:r>
      <w:r>
        <w:t>2.3</w:t>
      </w:r>
      <w:r>
        <w:t xml:space="preserve"> (показатели итогового опыта, раздел 3.4). Вверху слева — принимаемое видео 480 × 320, справа — показатели приёмника: частота видеокадров, принятая и полезная скорость, размер видеокадра, число показанных и потерянных видеокадров, потери фрагментов и число видеокадров, восстановленных помехоустойчивым кодом и досылкой. Ниже — показатели борта из журнала камеры, переданного по радиоканалу: мощность передатчика, SNR в обе стороны, RSSI, модуляция и её нижняя граница, PER, качество сжатия, задержка подтверждения; внизу — строки самого журнала.</w:t>
      </w:r>
    </w:p>
    <w:p>
      <w:pPr>
        <w:keepNext/>
        <w:ind w:firstLine="0"/>
        <w:jc w:val="center"/>
      </w:pPr>
      <w:r>
        <w:drawing>
          <wp:inline xmlns:a="http://schemas.openxmlformats.org/drawingml/2006/main" xmlns:pic="http://schemas.openxmlformats.org/drawingml/2006/picture">
            <wp:extent cx="5940000" cy="4489996"/>
            <wp:docPr id="4" name="Picture 4"/>
            <wp:cNvGraphicFramePr>
              <a:graphicFrameLocks noChangeAspect="1"/>
            </wp:cNvGraphicFramePr>
            <a:graphic>
              <a:graphicData uri="http://schemas.openxmlformats.org/drawingml/2006/picture">
                <pic:pic>
                  <pic:nvPicPr>
                    <pic:cNvPr id="0" name="fig_viewer.png"/>
                    <pic:cNvPicPr/>
                  </pic:nvPicPr>
                  <pic:blipFill>
                    <a:blip r:embed="rId13"/>
                    <a:stretch>
                      <a:fillRect/>
                    </a:stretch>
                  </pic:blipFill>
                  <pic:spPr>
                    <a:xfrm>
                      <a:off x="0" y="0"/>
                      <a:ext cx="5940000" cy="4489996"/>
                    </a:xfrm>
                    <a:prstGeom prst="rect"/>
                  </pic:spPr>
                </pic:pic>
              </a:graphicData>
            </a:graphic>
          </wp:inline>
        </w:drawing>
      </w:r>
    </w:p>
    <w:p>
      <w:pPr>
        <w:ind w:firstLine="0"/>
        <w:jc w:val="center"/>
      </w:pPr>
      <w:r>
        <w:t>Рисунок 2.3 – Окно программы просмотра halow_viewer.py</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25–28 дБ выше, чем у приёмника, долю неудачных попыток передачи 50–67 % при отношении сигнал/шум 30–38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 законченный узел с открытым комплектом разработки программы радиомодуля;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до 4 МГц снизило их в 4,4 раза (с 7,49 до 1,71 %), а ширина сигнала при более узкой полосе приёма почти не влияет (1,71 и 1,88 % — в пределах разброса). Причина — шум и помехи, которые собирает приёмник: по формуле (1.2) мощность шума пропорциональна полосе приёма, и при её сужении с B₁ до B₂ шум уменьшается на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ΔN</m:t>
              </m:r>
              <m:r>
                <m:rPr>
                  <m:sty m:val="p"/>
                </m:rPr>
                <w:rPr>
                  <w:rFonts w:ascii="Cambria Math" w:hAnsi="Cambria Math"/>
                </w:rPr>
                <m:t xml:space="preserve"> = 10 lg </m:t>
              </m:r>
              <m:f>
                <m:num>
                  <m:sSub>
                    <m:e>
                      <m:r>
                        <w:rPr>
                          <w:rFonts w:ascii="Cambria Math" w:hAnsi="Cambria Math"/>
                        </w:rPr>
                        <m:t xml:space="preserve">B</m:t>
                      </m:r>
                    </m:e>
                    <m:sub>
                      <m:r>
                        <m:rPr>
                          <m:sty m:val="p"/>
                        </m:rPr>
                        <w:rPr>
                          <w:rFonts w:ascii="Cambria Math" w:hAnsi="Cambria Math"/>
                        </w:rPr>
                        <m:t xml:space="preserve">1</m:t>
                      </m:r>
                    </m:sub>
                  </m:sSub>
                </m:num>
                <m:den>
                  <m:sSub>
                    <m:e>
                      <m:r>
                        <w:rPr>
                          <w:rFonts w:ascii="Cambria Math" w:hAnsi="Cambria Math"/>
                        </w:rPr>
                        <m:t xml:space="preserve">B</m:t>
                      </m:r>
                    </m:e>
                    <m:sub>
                      <m:r>
                        <m:rPr>
                          <m:sty m:val="p"/>
                        </m:rPr>
                        <w:rPr>
                          <w:rFonts w:ascii="Cambria Math" w:hAnsi="Cambria Math"/>
                        </w:rPr>
                        <m:t xml:space="preserve">2</m:t>
                      </m:r>
                    </m:sub>
                  </m:sSub>
                </m:den>
              </m:f>
              <m:r>
                <m:rPr>
                  <m:sty m:val="p"/>
                </m:rPr>
                <w:rPr>
                  <w:rFonts w:ascii="Cambria Math" w:hAnsi="Cambria Math"/>
                </w:rPr>
                <m:t xml:space="preserve"> = 10 lg </m:t>
              </m:r>
              <m:f>
                <m:num>
                  <m:r>
                    <m:rPr>
                      <m:sty m:val="p"/>
                    </m:rPr>
                    <w:rPr>
                      <w:rFonts w:ascii="Cambria Math" w:hAnsi="Cambria Math"/>
                    </w:rPr>
                    <m:t xml:space="preserve">8</m:t>
                  </m:r>
                </m:num>
                <m:den>
                  <m:r>
                    <m:rPr>
                      <m:sty m:val="p"/>
                    </m:rPr>
                    <w:rPr>
                      <w:rFonts w:ascii="Cambria Math" w:hAnsi="Cambria Math"/>
                    </w:rPr>
                    <m:t xml:space="preserve">4</m:t>
                  </m:r>
                </m:den>
              </m:f>
              <m:r>
                <m:rPr>
                  <m:sty m:val="p"/>
                </m:rPr>
                <w:rPr>
                  <w:rFonts w:ascii="Cambria Math" w:hAnsi="Cambria Math"/>
                </w:rPr>
                <m:t xml:space="preserve"> = 3,0 дБ,</m:t>
              </m:r>
            </m:oMath>
          </w:p>
        </w:tc>
        <w:tc>
          <w:tcPr>
            <w:tcW w:type="dxa" w:w="1020"/>
            <w:vAlign w:val="center"/>
          </w:tcPr>
          <w:p>
            <w:pPr>
              <w:pStyle w:val="Formula"/>
              <w:jc w:val="right"/>
            </w:pPr>
            <w:r>
              <w:t>(3.1)</w:t>
            </w:r>
          </w:p>
        </w:tc>
      </w:tr>
    </w:tbl>
    <w:p>
      <w:pPr>
        <w:ind w:firstLine="0"/>
      </w:pPr>
      <w:r>
        <w:t xml:space="preserve">где </w:t>
      </w:r>
      <w:r>
        <w:t>ΔN — уменьшение мощности шума, дБ; B₁, B₂ — полоса приёма до и после сужения, МГц.</w:t>
      </w:r>
    </w:p>
    <w:p>
      <w:r>
        <w:t>Сигнал занимает 2 МГц в обоих случаях, поэтому отношение сигнал/шум растёт на те же 3,0 дБ. Одним тепловым шумом снижение потерь в 4,4 раза не объясняется: в полосу 8 МГц попадают и излучения других устройств диапазона 863–870 МГц, а при сужении полосы приёма они отсекаются. Эксперимент подтвердил направление эффекта: чем уже полоса приёма, тем меньше потерь.</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5" name="Picture 5"/>
            <wp:cNvGraphicFramePr>
              <a:graphicFrameLocks noChangeAspect="1"/>
            </wp:cNvGraphicFramePr>
            <a:graphic>
              <a:graphicData uri="http://schemas.openxmlformats.org/drawingml/2006/picture">
                <pic:pic>
                  <pic:nvPicPr>
                    <pic:cNvPr id="0" name="fig_throughput.png"/>
                    <pic:cNvPicPr/>
                  </pic:nvPicPr>
                  <pic:blipFill>
                    <a:blip r:embed="rId14"/>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[38].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(3.2)</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[39],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Прежний кодер к тому времени работал с буферами во внешней памяти PSRAM, более медленной, чем внутренняя, и сжимал такой видеокадр около 150 мс, а не 75 мс, как следует из его лабораторной скорости.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в итоговой настройке (3 Мбод, пауза 1,5 мс) пропускает до 1,79 Мбит/с (таблица 3.3)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у трети–половины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1,1–2,6 раза: синтетический поток в среднем с 252 до 463 кбит/с (+84 %), видео с качеством 80 — с 282 до 618 кбит/с; задержка уменьшилась в 2,7–5,2 раза (у видео с качеством 80 — с 611 до 134 мс).</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6" name="Picture 6"/>
            <wp:cNvGraphicFramePr>
              <a:graphicFrameLocks noChangeAspect="1"/>
            </wp:cNvGraphicFramePr>
            <a:graphic>
              <a:graphicData uri="http://schemas.openxmlformats.org/drawingml/2006/picture">
                <pic:pic>
                  <pic:nvPicPr>
                    <pic:cNvPr id="0" name="fig_inertia.png"/>
                    <pic:cNvPicPr/>
                  </pic:nvPicPr>
                  <pic:blipFill>
                    <a:blip r:embed="rId15"/>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трассе 5 м через стену SNR выше коридора (около 36 дБ), потому что мощность уже снижена до наименьшей — 1 дБм — и ниже регулятору опускать её некуда.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2–3 раза по времени суток (раздел 2.4),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сигнал приёмника (14 дБм) у камеры −53 дБм: потери на трассе 67 дБ, запас до чувствительности около 48 дБ; приёмник слышит камеру, передающую на 1 дБм, с отношением сигнал/шум 36 дБ (медианы)</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камеры 1 дБм, сигнал приёмника у камеры −50 дБм, приёмник слышит камеру с SNR 36 дБ, нижняя граница модуляции держалась на MCS 4, PER — 68 % (медианы), RTT в среднем 0,42 с. Среднее значение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 это сигнал приёмника, передающего на 14 дБм, у камеры, поэтому потери на трассе — 64 дБ, а запас до чувствительности — около 50 дБ. Сама камера передаёт при этом на 1 дБм: регулятор снижает мощность, пока запас избыточен.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(3.3)</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(14 дБм — предел нормы ГКРЧ 25 мВт,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25–28 дБ выше, чем у платы приёмника без камеры (−85…−88 дБм),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при превышении на 28 дБ граница в свободном пространстве сокращается в 25 раз — до 39 м на MCS 7 и 195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[28].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[28]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[28]. Собственная точка стенда — трасса 5 м через стену, вне прямой видимости: сигнал приёмника у камеры −53 дБм, а приёмник слышит камеру с отношением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 около 0,77 Мбит/с, столько даёт его камера, —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фрагменты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Сигнал/фон у приёмника (передаёт камера), медиана, дБ</w:t>
            </w:r>
          </w:p>
        </w:tc>
        <w:tc>
          <w:tcPr>
            <w:tcW w:type="dxa" w:w="2154"/>
            <w:vAlign w:val="center"/>
          </w:tcPr>
          <w:p>
            <w:pPr>
              <w:pStyle w:val="TableText"/>
              <w:keepNext/>
              <w:jc w:val="center"/>
            </w:pPr>
            <w:r>
              <w:rPr>
                <w:sz w:val="20"/>
              </w:rPr>
              <w:t>34 (23–39)</w:t>
            </w:r>
          </w:p>
        </w:tc>
        <w:tc>
          <w:tcPr>
            <w:tcW w:type="dxa" w:w="2154"/>
            <w:vAlign w:val="center"/>
          </w:tcPr>
          <w:p>
            <w:pPr>
              <w:pStyle w:val="TableText"/>
              <w:keepNext/>
              <w:jc w:val="center"/>
            </w:pPr>
            <w:r>
              <w:rPr>
                <w:sz w:val="20"/>
              </w:rPr>
              <w:t>19 (8–29)</w:t>
            </w:r>
          </w:p>
        </w:tc>
        <w:tc>
          <w:tcPr>
            <w:tcW w:type="dxa" w:w="2098"/>
            <w:vAlign w:val="center"/>
          </w:tcPr>
          <w:p>
            <w:pPr>
              <w:pStyle w:val="TableText"/>
              <w:keepNext/>
              <w:jc w:val="center"/>
            </w:pPr>
            <w:r>
              <w:rPr>
                <w:sz w:val="20"/>
              </w:rPr>
              <w:t>24–40 (камера на 1 дБм)</w:t>
            </w:r>
          </w:p>
        </w:tc>
      </w:tr>
      <w:tr>
        <w:trPr>
          <w:cantSplit/>
        </w:trPr>
        <w:tc>
          <w:tcPr>
            <w:tcW w:type="dxa" w:w="2948"/>
            <w:vAlign w:val="center"/>
          </w:tcPr>
          <w:p>
            <w:pPr>
              <w:pStyle w:val="TableText"/>
              <w:keepNext/>
              <w:jc w:val="left"/>
            </w:pPr>
            <w:r>
              <w:rPr>
                <w:sz w:val="20"/>
              </w:rPr>
              <w:t>Сигнал/фон у платы с камерой (передаёт приёмник), медиана,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40 (предел отчёта модуля, контрольный опыт)</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сравнивается в одном направлении. Приёмник слышит камеру Wi-Fi HaLow, передающую на 1 дБм, с отношением сигнал/фон 24–40 дБ, а камеру Wi-Fi 2,4 ГГц при 14 и 20 дБм — с 19 и 34 дБ (медианы): такой же запас Wi-Fi HaLow даёт при мощности на 13–19 дБ ниже. В обратную сторону камера слышит приёмник Wi-Fi HaLow с отношением 40 дБ — это предел отчёта модуля, — а приёмник Wi-Fi 2,4 ГГц — с 15 и 24 дБ. Поэтому при удалении Wi-Fi 2,4 ГГц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фрагментов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[40].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[41]; по пользовательским данным, канал управления ExpressLRS 900 МГц работал с БПЛА на 40,7 км при 10 мВт [42]. Но скорость LoRa — 0,29–5,5 кбит/с в канале 125 кГц [3], ниже полученной полезной скорости Wi-Fi HaLow в 190–3700 раз, а время передачи одного пакета — от 0,39 до 31 мс в режимах ExpressLRS [43]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7" name="Picture 7"/>
            <wp:cNvGraphicFramePr>
              <a:graphicFrameLocks noChangeAspect="1"/>
            </wp:cNvGraphicFramePr>
            <a:graphic>
              <a:graphicData uri="http://schemas.openxmlformats.org/drawingml/2006/picture">
                <pic:pic>
                  <pic:nvPicPr>
                    <pic:cNvPr id="0" name="fig_rate_range.png"/>
                    <pic:cNvPicPr/>
                  </pic:nvPicPr>
                  <pic:blipFill>
                    <a:blip r:embed="rId16"/>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(3.3)</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8" name="Picture 8"/>
            <wp:cNvGraphicFramePr>
              <a:graphicFrameLocks noChangeAspect="1"/>
            </wp:cNvGraphicFramePr>
            <a:graphic>
              <a:graphicData uri="http://schemas.openxmlformats.org/drawingml/2006/picture">
                <pic:pic>
                  <pic:nvPicPr>
                    <pic:cNvPr id="0" name="fig_rate_heatmap.png"/>
                    <pic:cNvPicPr/>
                  </pic:nvPicPr>
                  <pic:blipFill>
                    <a:blip r:embed="rId17"/>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9" name="Picture 9"/>
            <wp:cNvGraphicFramePr>
              <a:graphicFrameLocks noChangeAspect="1"/>
            </wp:cNvGraphicFramePr>
            <a:graphic>
              <a:graphicData uri="http://schemas.openxmlformats.org/drawingml/2006/picture">
                <pic:pic>
                  <pic:nvPicPr>
                    <pic:cNvPr id="0" name="fig_wall.png"/>
                    <pic:cNvPicPr/>
                  </pic:nvPicPr>
                  <pic:blipFill>
                    <a:blip r:embed="rId18"/>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[44].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10" name="Picture 10"/>
            <wp:cNvGraphicFramePr>
              <a:graphicFrameLocks noChangeAspect="1"/>
            </wp:cNvGraphicFramePr>
            <a:graphic>
              <a:graphicData uri="http://schemas.openxmlformats.org/drawingml/2006/picture">
                <pic:pic>
                  <pic:nvPicPr>
                    <pic:cNvPr id="0" name="fig_foliage.png"/>
                    <pic:cNvPicPr/>
                  </pic:nvPicPr>
                  <pic:blipFill>
                    <a:blip r:embed="rId19"/>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[42]</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[28];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[28]</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[43];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до 4 МГц снизило потери в 4,4 раза — шум в полосе уменьшается на 10 lg(8/4) = 3,0 дБ, и в узкую полосу попадает меньше помех других устройств диапазона.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сигнал приёмника у камеры −53 дБм, приёмник слышит камеру с отношением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а запас по сигналу у приёмника Wi-Fi HaLow при мощности камеры 1 дБм (24–40 дБ) такой же, как у Wi-Fi 2,4 ГГц при 14–20 дБм (19–34 дБ, медианы), — при мощности на 13–19 дБ ниже.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20"/>
          <w:headerReference w:type="first" r:id="rId21"/>
          <w:footerReference w:type="first" r:id="rId22"/>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сочетает оба свойства: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Измерение на одной паре плат подтвердило расчёт для наименьших скоростей: граница связи, где обе технологии работают на самой медленной модуляции, у Wi-Fi HaLow в 1,8 раза дальше (по расчёту — в 1,9 раза;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3GPP TR 38.901 V17.0.0 (2022-03). Study on channel model for frequencies from 0.5 to 100 GHz (Release 17) : technical report / 3rd Generation Partnership Project. – Valbonne : ETSI, 2022. – 106 p. – Текст : электронный // 3GPP : [сайт]. – URL: https://www.3gpp.org/ftp/Specs/archive/38_series/38.901/ (дата обращения: 22.10.2026).</w:t>
      </w:r>
    </w:p>
    <w:p>
      <w:pPr>
        <w:ind w:firstLine="0"/>
        <w:jc w:val="left"/>
      </w:pPr>
      <w:r>
        <w:t>25. Об утверждении Федеральных правил использования воздушного пространства Российской Федерации : постановление Правительства Российской Федерации от 11.03.2010 № 138 (в ред. постановления от 03.02.2020 № 74). – Текст : электронный // ГАРАНТ.РУ : информационно-правовой портал. – URL: https://base.garant.ru/197839/ (дата обращения: 22.10.2026).</w:t>
      </w:r>
    </w:p>
    <w:p>
      <w:pPr>
        <w:ind w:firstLine="0"/>
        <w:jc w:val="left"/>
      </w:pPr>
      <w:r>
        <w:t>26. Shannon, C. E. A Mathematical Theory of Communication / C. E. Shannon // Bell System Technical Journal. – 1948. – Vol. 27, no. 3. – P. 379–423. – Текст : электронный.</w:t>
      </w:r>
    </w:p>
    <w:p>
      <w:pPr>
        <w:ind w:firstLine="0"/>
        <w:jc w:val="left"/>
      </w:pPr>
      <w:r>
        <w:t>27.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28.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29.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30. LILYGO T-Halow ESP32-S3 Development Board, Wi-Fi HaLow. – Текст : электронный // AliExpress : [сайт]. – URL: https://www.aliexpress.com/item/1005007402959136.html (дата обращения: 24.09.2026).</w:t>
      </w:r>
    </w:p>
    <w:p>
      <w:pPr>
        <w:ind w:firstLine="0"/>
        <w:jc w:val="left"/>
      </w:pPr>
      <w:r>
        <w:t>31. ESP32 Wi-Fi HaLow Camera HT-HC32. – Текст : электронный // Heltec Automation : [сайт]. – URL: https://wiki.heltec.org/docs/devices/wifi-halow/ht-hc32/ (дата обращения: 13.10.2026).</w:t>
      </w:r>
    </w:p>
    <w:p>
      <w:pPr>
        <w:ind w:firstLine="0"/>
        <w:jc w:val="left"/>
      </w:pPr>
      <w:r>
        <w:t>32. ESP32 Wi-Fi HaLow Camera. – Текст : электронный // Heltec Automation : [сайт]. – URL: https://heltec.org/project/ht-hc32/ (дата обращения: 13.10.2026).</w:t>
      </w:r>
    </w:p>
    <w:p>
      <w:pPr>
        <w:ind w:firstLine="0"/>
        <w:jc w:val="left"/>
      </w:pPr>
      <w:r>
        <w:t>33.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34.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35. NRC7394 Evaluation Kit Purchase page. – Текст : электронный // NEWRACOM : [сайт]. – URL: https://newracom.com/nrc7394-evaluation-kit-purchase-page (дата обращения: 24.09.2026).</w:t>
      </w:r>
    </w:p>
    <w:p>
      <w:pPr>
        <w:ind w:firstLine="0"/>
        <w:jc w:val="left"/>
      </w:pPr>
      <w:r>
        <w:t>36. NRC7292 EVK. – Текст : электронный // NEWRACOM : [сайт]. – URL: https://newracom.com/products/nrc7292-evk (дата обращения: 24.09.2026).</w:t>
      </w:r>
    </w:p>
    <w:p>
      <w:pPr>
        <w:ind w:firstLine="0"/>
        <w:jc w:val="left"/>
      </w:pPr>
      <w:r>
        <w:t>37. MM6108-EKH05-05US, WiFi Development Tools — 802.11 Wi-Fi HaLow IoT Development Board. – Текст : электронный // ЧИП и ДИП : [сайт]. – URL: https://chipdip.ru/product0/8040419288 (дата обращения: 24.09.2026).</w:t>
      </w:r>
    </w:p>
    <w:p>
      <w:pPr>
        <w:ind w:firstLine="0"/>
        <w:jc w:val="left"/>
      </w:pPr>
      <w:r>
        <w:t>38.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39.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40. ESP32-CAM Performance Reference Benchmark : dataset / TNeutron. – 2025. – Текст : электронный // GitHub : [сайт]. – URL: https://github.com/TNeutron/ESP32-CAM-Performence-Reference-Benchmark (дата обращения: 08.10.2026).</w:t>
      </w:r>
    </w:p>
    <w:p>
      <w:pPr>
        <w:ind w:firstLine="0"/>
        <w:jc w:val="left"/>
      </w:pPr>
      <w:r>
        <w:t>41.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42. Long Range / ExpressLRS. – Текст : электронный // GitHub : ExpressLRS/Docs. – URL: https://github.com/ExpressLRS/Docs/blob/master/docs/info/long-range.md (дата обращения: 08.10.2026).</w:t>
      </w:r>
    </w:p>
    <w:p>
      <w:pPr>
        <w:ind w:firstLine="0"/>
        <w:jc w:val="left"/>
      </w:pPr>
      <w:r>
        <w:t>43. Signal Health / ExpressLRS. – Текст : электронный // GitHub : ExpressLRS/Docs. – URL: https://github.com/ExpressLRS/Docs/blob/master/docs/info/signal-health.md (дата обращения: 08.10.2026).</w:t>
      </w:r>
    </w:p>
    <w:p>
      <w:pPr>
        <w:ind w:firstLine="0"/>
        <w:jc w:val="left"/>
      </w:pPr>
      <w:r>
        <w:t>44.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45.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46.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47.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48.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49.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50.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sectPr w:rsidR="00FC693F" w:rsidRPr="0006063C" w:rsidSect="00034616">
      <w:headerReference w:type="default" r:id="rId23"/>
      <w:footerReference w:type="default" r:id="rId24"/>
      <w:pgSz w:w="11906" w:h="16838"/>
      <w:pgMar w:top="1134" w:right="850" w:bottom="1417" w:left="1701" w:header="283" w:footer="283" w:gutter="0"/>
      <w:cols w:space="720"/>
      <w:docGrid w:linePitch="360"/>
      <w:pgNumType w:start="10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109</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header" Target="header3.xml"/><Relationship Id="rId2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