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Экономическая часть</w:t>
      </w:r>
    </w:p>
    <w:p>
      <w:r>
        <w:t>Одной из основных характеристик любого технического решения является его экономическая обоснованность. Беспилотные летательные аппараты (БПЛА) применяются всё шире — для мониторинга, аэрофотосъёмки, доставки грузов, — и их возможности во многом определяются дальностью и надёжностью канала передачи данных с борта. Выбор технологии такого канала на этапе проектирования требует достоверных данных о её характеристиках в реальных условиях. Для новых технологий, к которым относится Wi-Fi HaLow, таких данных мало, а значения, заявленные производителями оборудования, получены для идеальных условий. Ошибка в выборе обнаруживается лишь на лётных испытаниях и обходится разработчику повторным проектированием канала.</w:t>
      </w:r>
    </w:p>
    <w:p>
      <w:r>
        <w:t>Тема ВКР — «Разработка предложений по увеличению дальности и надежности передачи данных с борта беспилотного летательного аппарата». Цель работы — исследование эффективности технологии Wi-Fi HaLow (IEEE 802.11ah) [7] на платформе LilyGO T-HaLow по сравнению с традиционными протоколами Wi-Fi по дальности, уровню сигнала, задержке и потерям пакетов. По характеру работ ВКР является научно-исследовательской работой (НИР). Её научно-технической продукцией (НТПр) являются экспериментально определённые характеристики канала Wi-Fi HaLow, их сравнение с IEEE 802.11 на той же аппаратной платформе и рекомендации по применению технологии для связи с БПЛА.</w:t>
      </w:r>
    </w:p>
    <w:p>
      <w:r>
        <w:t>Исследование должно дать разработчикам систем связи БПЛА измеренные характеристики канала Wi-Fi HaLow — дальность, уровень сигнала, задержку, потери пакетов и скорость передачи видео. По ним разработчик выбирает технологию канала и дальность пролёта ретрансляционной линии и тем самым сокращает затраты на создание линий связи с БПЛА. При этом экономический эффект от применения результатов НИР должен перекрывать затраты на её выполнение. Необходимо убедиться в научной новизне, эффективности и окупаемости исследования, для чего по методике [45] выполняются:</w:t>
      </w:r>
    </w:p>
    <w:p>
      <w:r>
        <w:t xml:space="preserve">– </w:t>
      </w:r>
      <w:r>
        <w:t>оценка целесообразности НИР на основе сравнения с существующими технологиями;</w:t>
      </w:r>
    </w:p>
    <w:p>
      <w:r>
        <w:t xml:space="preserve">– </w:t>
      </w:r>
      <w:r>
        <w:t>планирование работ: определение трудоёмкости НИР и построение сетевого графика;</w:t>
      </w:r>
    </w:p>
    <w:p>
      <w:r>
        <w:t xml:space="preserve">– </w:t>
      </w:r>
      <w:r>
        <w:t>определение затрат, себестоимости и цены НИР;</w:t>
      </w:r>
    </w:p>
    <w:p>
      <w:r>
        <w:t xml:space="preserve">– </w:t>
      </w:r>
      <w:r>
        <w:t>оценка экономической эффективности и срока окупаемости.</w:t>
      </w:r>
    </w:p>
    <w:p>
      <w:r>
        <w:t>В результате будет получена комплексная оценка экономической обоснованности НИР и план её выполнения с определёнными сроками и объёмом финансирования. Это позволит судить, оправдано ли проведение исследования и насколько быстро окупятся вложения в него при передаче результатов предприятиям-разработчикам.</w:t>
      </w:r>
    </w:p>
    <w:p>
      <w:pPr>
        <w:pStyle w:val="Heading2"/>
      </w:pPr>
      <w:r>
        <w:t>4.1 Оценка целесообразности проведения исследования</w:t>
      </w:r>
    </w:p>
    <w:p>
      <w:r>
        <w:t xml:space="preserve">Целесообразность и экономическая оправданность научного исследования определяются прежде всего значимостью и новизной знаний, получаемых в результате его проведения. Количественным показателем прогрессивности НИР служит индекс научно-технической прогрессивности </w:t>
      </w:r>
      <m:oMath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</m:t>
            </m:r>
          </m:sub>
        </m:sSub>
      </m:oMath>
      <w:r>
        <w:t>, который определяется балльным сравнением НТПр с уже существующим решением — базой для сравнения [45].</w:t>
      </w:r>
    </w:p>
    <w:p>
      <w:r>
        <w:t>Сравнение проводится по трём признакам: научно-технический уровень (новизна), перспективность и возможность применения результатов. Баллы назначаются по ориентировочным шкалам методики [45]. Научно-технический уровень оценивается от 1–2 баллов («тривиальный») до 9–10 («превышает мировые достижения»), перспективность — от 1–4 («полезная») до 8–10 («первостепенной важности»), возможность применения — в зависимости от масштаба (предприятие, отрасль, народное хозяйство) и срока применения результатов. Значимость признаков принята по таблице 2.3 методики.</w:t>
      </w:r>
    </w:p>
    <w:p>
      <w:r>
        <w:t>Канал передачи данных с борта БПЛА на удалённый наземный пункт может быть построен на одной из трёх технологий (подраздел 1.3): LoRa, Wi-Fi 2,4 ГГц (IEEE 802.11) и Wi-Fi HaLow (IEEE 802.11ah). Поэтому за базы для сравнения приняты две распространённые технологии — LoRa и Wi-Fi 2,4 ГГц, а НТПр настоящей работы — канал Wi-Fi HaLow с экспериментально определёнными характеристиками и рекомендациями по его применению для связи с БПЛА.</w:t>
      </w:r>
    </w:p>
    <w:p>
      <w:r>
        <w:t>LoRa работает в том же диапазоне 868 МГц, что и Wi-Fi HaLow, поэтому радиоволны обеих технологий распространяются одинаково. Различаются они способом передачи. LoRa растягивает каждый символ во времени и передаёт его в узкой полосе 125 кГц; это поднимает чувствительность приёмника до −137 дБм и даёт дальность в десятки километров, но ограничивает скорость единицами килобит в секунду [3]. Wi-Fi HaLow передаёт данные многими поднесущими (OFDM) в полосе 1–2 МГц со скоростью от сотен килобит до единиц мегабит в секунду, а платит за это меньшей чувствительностью. LoRa — канал телеметрии и управления, передать по нему видео нельзя. Технология зрелая и широко применяется, но для задачи передачи видео с борта её научно-технический уровень лишь приближается к мировому — 5 баллов; перспективность — 4 балла («полезная»): она сохраняется для телеметрии, но не для видео. Для передачи видео результаты LoRa применимы лишь на уровне отдельных предприятий и в отдалённой перспективе — 2 балла.</w:t>
      </w:r>
    </w:p>
    <w:p>
      <w:r>
        <w:t>Wi-Fi 2,4 ГГц передаёт видео с высокой скоростью — на одной паре плат измерено 15–19 Мбит/с (подраздел 3.7). Однако с увеличением дальности его скорость падает быстрее, чем у Wi-Fi HaLow, и на расстояниях, где Wi-Fi HaLow ещё передаёт видео, становится меньше минимальной, необходимой для передачи видео. Кроме того, сигнал 2,4 ГГц сильнее ослабляется препятствиями, а диапазон перегружен бытовыми сетями. Научно-технический уровень оценён в 5 баллов («приближается к мировым достижениям»), перспективность для дальних каналов с БПЛА — 5 баллов. Оборудование Wi-Fi 2,4 ГГц массовое и применяется в отрасли уже сейчас, однако дальность ограничивает его применение в срок 3–5 лет — 7 баллов.</w:t>
      </w:r>
    </w:p>
    <w:p>
      <w:r>
        <w:t>Wi-Fi HaLow сочетает обе возможности: работает ниже 1 ГГц, где радиоволны распространяются дальше и лучше огибают препятствия, и при этом переносит видео. Характеристики канала в работе получены измерением на серийной плате и сопоставлены с моделями распространения радиоволн; сравнение с Wi-Fi 2,4 ГГц выполнено на той же паре плат, сравнение с LoRa — по опубликованным данным, поскольку радиомодуля LoRa на плате нет. Такой результат находится на уровне мировых исследований технологии — 7 баллов. Технология новая: доступное оборудование появилось в 2024–2025 гг., натурных данных для серийных модулей мало, а потребность в дальних каналах связи с БПЛА, не требующих наземной инфраструктуры, растёт, — перспективность 7 баллов. Результаты получены на недорогой серийной плате в разрешённом диапазоне частот и при разрешённой мощности и применимы разработчиками систем связи БПЛА в масштабах отрасли в срок до 3 лет — 8 баллов. Оценки сведены в таблицу 4.1.</w:t>
      </w:r>
    </w:p>
    <w:p>
      <w:pPr>
        <w:pStyle w:val="TableCaption"/>
        <w:ind w:firstLine="0"/>
      </w:pPr>
      <w:r>
        <w:t>Таблица 4.1 – Научно-технический эффект НТПр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3118"/>
        <w:gridCol w:w="1474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Признак научно-технического эффекта НТПр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Значимость признака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База 1: LoRa, баллы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База 2: Wi-Fi 2,4 ГГц, баллы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НТПр: Wi-Fi HaLow, баллы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Научно-технический уровень (новизна) НТПр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0,4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Перспективность НТПр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0,4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TableText"/>
              <w:jc w:val="left"/>
            </w:pPr>
            <w:r>
              <w:rPr>
                <w:sz w:val="24"/>
              </w:rPr>
              <w:t>Возможность применения результатов НТПр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jc w:val="center"/>
            </w:pPr>
            <w:r>
              <w:rPr>
                <w:sz w:val="24"/>
              </w:rPr>
              <w:t>0,2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>
              <w:rPr>
                <w:sz w:val="24"/>
              </w:rPr>
              <w:t>8</w:t>
            </w:r>
          </w:p>
        </w:tc>
      </w:tr>
    </w:tbl>
    <w:p>
      <w:pPr>
        <w:spacing w:line="240" w:lineRule="auto"/>
      </w:pPr>
    </w:p>
    <w:p>
      <w:pPr>
        <w:keepNext/>
      </w:pPr>
      <w:r>
        <w:t>Индекс научно-технической прогрессивности определяется для каждой базы по формуле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НТП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Н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 Н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Н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 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(4.1)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 Н</m:t>
            </m:r>
          </m:sub>
        </m:sSub>
      </m:oMath>
      <w:r>
        <w:t xml:space="preserve"> – обобщённый количественный показатель научно-технического уровня НТПр, являющейся результатом дипломной работы, по формуле (4.2);</w:t>
      </w:r>
    </w:p>
    <w:p>
      <m:oMath>
        <m:sSub>
          <m:e>
            <m:r>
              <w:rPr>
                <w:rFonts w:ascii="Cambria Math" w:hAnsi="Cambria Math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 Б</m:t>
            </m:r>
          </m:sub>
        </m:sSub>
      </m:oMath>
      <w:r>
        <w:t xml:space="preserve"> – обобщённый количественный показатель научно-технического уровня НТПр, выбранной за базу для сравнения, по формуле (4.3).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НТП 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Нi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7·0,4 + 7·0,4 + 8·0,2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0,4 + 0,4 + 0,2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7,2,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(4.2)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Нi</m:t>
            </m:r>
          </m:sub>
        </m:sSub>
      </m:oMath>
      <w:r>
        <w:t xml:space="preserve"> – значение показателя i-го признака НТПр, являющейся результатом дипломной работы, баллы (таблица 4.1);</w:t>
      </w:r>
    </w:p>
    <w:p>
      <m:oMath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i</m:t>
            </m:r>
          </m:sub>
        </m:sSub>
      </m:oMath>
      <w:r>
        <w:t xml:space="preserve"> – значение весового коэффициента (значимость) i-го признака НТПр, доли единицы.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НТП 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Бi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(4.3)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Бi</m:t>
            </m:r>
          </m:sub>
        </m:sSub>
      </m:oMath>
      <w:r>
        <w:t xml:space="preserve"> – значение показателя i-го признака НТПр, выбранной за базу для сравнения, баллы (таблица 4.1). Для LoRa и Wi-Fi 2,4 ГГц: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 Б1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5·0,4 + 4·0,4 + 2·0,2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0,4 + 0,4 + 0,2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4,0;   </m:t>
        </m:r>
        <m:sSub>
          <m:e>
            <m:r>
              <w:rPr>
                <w:rFonts w:ascii="Cambria Math" w:hAnsi="Cambria Math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 Б2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5·0,4 + 5·0,4 + 7·0,2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0,4 + 0,4 + 0,2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5,4.</m:t>
        </m:r>
      </m:oMath>
    </w:p>
    <w:p>
      <w:pPr>
        <w:keepNext/>
      </w:pPr>
      <w:r>
        <w:t xml:space="preserve">Подставляя полученные значения в формулу </w:t>
      </w:r>
      <w:r>
        <w:t>(4.1)</w:t>
      </w:r>
      <w:r>
        <w:t>, получаем индексы научно-технической прогрессивности относительно LoRa и Wi-Fi 2,4 ГГц: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7,2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4,0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1,80;   </m:t>
        </m:r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7,2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5,4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1,33.</m:t>
        </m:r>
      </m:oMath>
    </w:p>
    <w:p>
      <w:r>
        <w:t>Оба индекса больше единицы (1,80 и 1,33), следовательно, НИР превосходит обе базы по научно-технической прогрессивности и её проведение целесообразно. В расчёте экономического эффекта (подраздел 4.4) линия связи на Wi-Fi HaLow сравнивается с линией на Wi-Fi 2,4 ГГц: LoRa видео не передаёт, и линия на ней не решает той же задачи. Поэтому в формулу эффекта подставляется индекс относительно той же базы — Wi-Fi 2,4 ГГц, равный 1,33.</w:t>
      </w:r>
    </w:p>
    <w:p>
      <w:r>
        <w:t>Помимо прогрессивности, целесообразность НИР характеризует новизна её результатов. Функционально результат отличается от баз тем, что канал Wi-Fi HaLow передаёт видео на расстояниях, где скорость Wi-Fi 2,4 ГГц падает ниже необходимой для видео, а LoRa видео не передаёт вовсе. Технологически — тем, что Wi-Fi HaLow и Wi-Fi 2,4 ГГц сравнены на одной аппаратной платформе. Производственный, социальный и юридический критерии остаются на существующем уровне. Новизна оценивается по ориентировочной шкале методики [45]: принципиально новое — 5 баллов, новое — 3, улучшенное — 2, существующего уровня — 1, устаревшее — 0. Оценка приведена в таблице 4.2.</w:t>
      </w:r>
    </w:p>
    <w:p>
      <w:pPr>
        <w:pStyle w:val="TableCaption"/>
        <w:ind w:firstLine="0"/>
      </w:pPr>
      <w:r>
        <w:t>Таблица 4.2 – Оценка новизны НТПр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1984"/>
        <w:gridCol w:w="4705"/>
        <w:gridCol w:w="1700"/>
        <w:gridCol w:w="963"/>
      </w:tblGrid>
      <w:tr>
        <w:trPr>
          <w:cantSplit/>
          <w:tblHeader w:val="true"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Критерий новизны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Характеристика НТПр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Новизна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Баллы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Функциональный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передача видео на расстояниях, где скорость Wi-Fi 2,4 ГГц ниже необходимой для видео, а LoRa видео не передаёт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новое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Технологический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сравнение Wi-Fi HaLow и IEEE 802.11 на одной аппаратной платформе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улучшенное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Производственный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используются серийные платы без доработки аппаратной части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существующего уровня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Социальный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условия труда исследователя не меняются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существующего уровня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Юридический</w:t>
            </w:r>
          </w:p>
        </w:tc>
        <w:tc>
          <w:tcPr>
            <w:tcW w:type="dxa" w:w="470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патентование результатов не предусматривается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существующего уровня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8391"/>
            <w:gridSpan w:val="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96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8</w:t>
            </w:r>
          </w:p>
        </w:tc>
      </w:tr>
    </w:tbl>
    <w:p>
      <w:pPr>
        <w:spacing w:line="240" w:lineRule="auto"/>
      </w:pPr>
    </w:p>
    <w:p>
      <w:pPr>
        <w:keepNext/>
      </w:pPr>
      <w:r>
        <w:t>Коэффициент новизны определяется по формуле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К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0,32,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(4.4)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К</m:t>
            </m:r>
          </m:sub>
        </m:sSub>
      </m:oMath>
      <w:r>
        <w:t xml:space="preserve"> – сумма набранных баллов; </w:t>
      </w:r>
      <m:oMath>
        <m:sSub>
          <m:e>
            <m:r>
              <w:rPr>
                <w:rFonts w:ascii="Cambria Math" w:hAnsi="Cambria Math"/>
              </w:rPr>
              <m:t xml:space="preserve">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М</m:t>
            </m:r>
          </m:sub>
        </m:sSub>
      </m:oMath>
      <w:r>
        <w:t xml:space="preserve"> – максимальная сумма баллов по всем критериям (25).</w:t>
      </w:r>
    </w:p>
    <w:p>
      <w:r>
        <w:t>Так как значение коэффициента больше 0,2, НИР обладает удовлетворительной новизной и её проведение целесообразно. Результат является новым по функциональному критерию и улучшенным по технологическому.</w:t>
      </w:r>
    </w:p>
    <w:p>
      <w:pPr>
        <w:pStyle w:val="Heading2"/>
      </w:pPr>
      <w:r>
        <w:t>4.2 Планирование разработки</w:t>
      </w:r>
    </w:p>
    <w:p>
      <w:r>
        <w:t>После подтверждения целесообразности НИР ключевым этапом её планирования становятся расчёт трудоёмкости и построение сетевого графика. Затраты труда и его оплата составляют основную часть себестоимости исследования, а сетевой график показывает, в какой последовательности выполняются работы, какие из них можно вести параллельно и укладывается ли НИР в заданный срок. По методике [45] НИР делится на четыре стадии:</w:t>
      </w:r>
    </w:p>
    <w:p>
      <w:r>
        <w:t xml:space="preserve">– </w:t>
      </w:r>
      <w:r>
        <w:t>подготовительная стадия — составление задания на НИР, сбор и анализ информационных материалов, технико-экономическое обоснование;</w:t>
      </w:r>
    </w:p>
    <w:p>
      <w:r>
        <w:t xml:space="preserve">– </w:t>
      </w:r>
      <w:r>
        <w:t>теоретическая разработка — основа исследования: выбор моделей и методики, подготовка средств проведения эксперимента;</w:t>
      </w:r>
    </w:p>
    <w:p>
      <w:r>
        <w:t xml:space="preserve">– </w:t>
      </w:r>
      <w:r>
        <w:t>экспериментальные работы — проверка и уточнение теоретических положений измерениями;</w:t>
      </w:r>
    </w:p>
    <w:p>
      <w:r>
        <w:t xml:space="preserve">– </w:t>
      </w:r>
      <w:r>
        <w:t>заключительная стадия — оформление отчёта, оценка значимости полученных результатов и перспектив их применения.</w:t>
      </w:r>
    </w:p>
    <w:p>
      <w:r>
        <w:t>Структура и доли трудоёмкости работ установлены заданием на ВКР и соотнесены с перечисленными стадиями в таблице 4.3.</w:t>
      </w:r>
    </w:p>
    <w:p>
      <w:pPr>
        <w:pStyle w:val="TableCaption"/>
        <w:ind w:firstLine="0"/>
      </w:pPr>
      <w:r>
        <w:t>Таблица 4.3 – Стадии работ, выполняемые при проведении НИР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2551"/>
        <w:gridCol w:w="4818"/>
        <w:gridCol w:w="1984"/>
      </w:tblGrid>
      <w:tr>
        <w:trPr>
          <w:cantSplit/>
          <w:tblHeader w:val="true"/>
        </w:trPr>
        <w:tc>
          <w:tcPr>
            <w:tcW w:type="dxa" w:w="255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Наименование стадии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Выполняемые работы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Удельный вес трудоёмкости стадии в общем объёме работ, %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Подготовительная стадия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Сравнительный анализ Wi-Fi HaLow с другими вариантами канала связи с БПЛА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Теоретическая разработка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Обоснование эксперимента, методика экспериментов, выбор и настройка аппаратных и программных средств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Экспериментальные работы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Серия экспериментов на платформе LilyGO T-HaLow, сравнение с IEEE 802.11 на той же аппаратной платформе, обработка результатов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Заключительная стадия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Экономическая часть, охрана труда, основные результаты и выводы, оформление отчёта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100</w:t>
            </w:r>
          </w:p>
        </w:tc>
      </w:tr>
    </w:tbl>
    <w:p>
      <w:pPr>
        <w:spacing w:line="240" w:lineRule="auto"/>
      </w:pPr>
    </w:p>
    <w:p>
      <w:pPr>
        <w:keepNext/>
      </w:pPr>
      <w:r>
        <w:t xml:space="preserve">Сетевой график — наглядный способ представить структуру работ и их сроки. Для его построения определяется перечень работ и событий — моментов окончания одних работ и начала других. Перечень приведён в таблице 4.4, продолжительность — в календарных днях. Продолжительность работ НИР заранее точно не известна и зависит от многих факторов, поэтому для каждой работы задаётся минимальная оценка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min</m:t>
            </m:r>
          </m:sub>
        </m:sSub>
      </m:oMath>
      <w:r>
        <w:t xml:space="preserve"> — при наиболее благоприятном стечении обстоятельств — и максимальная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max</m:t>
            </m:r>
          </m:sub>
        </m:sSub>
      </m:oMath>
      <w:r>
        <w:t xml:space="preserve"> — при наиболее неблагоприятном; ожидаемая продолжительность [45]: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ож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min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+ 2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.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(4.5)</w:t>
            </w:r>
          </w:p>
        </w:tc>
      </w:tr>
    </w:tbl>
    <w:p>
      <w:pPr>
        <w:pStyle w:val="TableCaption"/>
        <w:ind w:firstLine="0"/>
      </w:pPr>
      <w:r>
        <w:t>Таблица 4.4 – Продолжительность работ НИР, кал. дн.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453"/>
        <w:gridCol w:w="5159"/>
        <w:gridCol w:w="1020"/>
        <w:gridCol w:w="1020"/>
        <w:gridCol w:w="566"/>
        <w:gridCol w:w="566"/>
        <w:gridCol w:w="566"/>
      </w:tblGrid>
      <w:tr>
        <w:trPr>
          <w:cantSplit/>
          <w:tblHeader w:val="true"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Наименование работы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Начальное событие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Конечное событие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tmin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tmax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tож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Анализ вариантов канала связи с БПЛА, сравнение Wi-Fi HaLow с LoRa и IEEE 802.11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Теоретическая оценка характеристик канала: расчёт бюджета канала и дальности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Разработка программного обеспечения стенда: передача видео и регистрация показателей канала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17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Разработка методики экспериментов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Измерение показателей Wi-Fi HaLow и IEEE 802.11 на одной аппаратной платформе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Обработка результатов, сравнение с теоретической оценкой и другими протоколами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515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0"/>
              </w:rPr>
              <w:t>Экономическая часть, охрана труда и оформление отчёта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7653"/>
            <w:gridSpan w:val="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0"/>
              </w:rPr>
              <w:t>Итого по критическому пути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0"/>
              </w:rPr>
              <w:t>59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0"/>
              </w:rPr>
              <w:t>87</w:t>
            </w:r>
          </w:p>
        </w:tc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0"/>
              </w:rPr>
              <w:t>69</w:t>
            </w:r>
          </w:p>
        </w:tc>
      </w:tr>
    </w:tbl>
    <w:p>
      <w:pPr>
        <w:spacing w:line="240" w:lineRule="auto"/>
      </w:pPr>
    </w:p>
    <w:p>
      <w:r>
        <w:t>Инженер-исследователь последовательно выполняет теоретическую оценку характеристик канала (работа 2–3) и разрабатывает методику экспериментов (работа 3–4), а инженер-программист параллельно с ним разрабатывает программное обеспечение стенда (работа 2–4). Измерения (работа 4–5) начинаются после завершения обеих ветвей. Построенный сетевой график представлен на рисунке 4.1.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4.1 – Сетевой график НИР (у стрелки — ожидаемая продолжительность, кал. дн.; жирные стрелки — критический путь)</w:t>
      </w:r>
    </w:p>
    <w:p>
      <w:r>
        <w:t>Обе ветви графика от события 2 до события 4 имеют одинаковую длительность, поэтому критическими являются пути 1–2–3–4–5–6–7 и 1–2–4–5–6–7, их длина составит 69 дней. Резервов времени у работ нет, и ни один исполнитель не простаивает в ожидании результатов другого. При минимальных оценках длиннее путь через работу 2–4 (59 дней против 57), при максимальных — через работы 2–3 и 3–4 (87 дней против 84); эти значения и приведены в итоговой строке таблицы 4.4. Максимальная возможная длительность выполнения НИР составит 87 календарных дней, что удовлетворяет требованиям на срок выполнения дипломной работы, который определён с 29.09.2026 по 25.12.2026 и составляет 88 календарных дней.</w:t>
      </w:r>
    </w:p>
    <w:p>
      <w:pPr>
        <w:pStyle w:val="Heading2"/>
      </w:pPr>
      <w:r>
        <w:t>4.3 Определение затрат, себестоимости и цены разработки</w:t>
      </w:r>
    </w:p>
    <w:p>
      <w:r>
        <w:t>Как уже было сказано выше, основной статьёй расходов при проведении НИР является оплата труда исполнителей. Затраты на неё определяются как сумма затрат на выполнение каждой работы, которые в свою очередь являются произведением трудоёмкости работы на дневную ставку исполнителя [45].</w:t>
      </w:r>
    </w:p>
    <w:p>
      <w:r>
        <w:t>Определим состав исполнителей НИР. Группа состоит из четырёх человек: руководителя НИР, инженера-исследователя, инженера-программиста и техника. Основу группы составляет инженер-исследователь — радиоинженер по специальности: он анализирует варианты канала связи с БПЛА, выполняет теоретическую оценку характеристик канала, разрабатывает методику экспериментов и проводит измерения — собирает стенд, загружает программы в платы, расставляет их на трассе, управляет прогонами и ведёт протокол. Одновременно с теоретической оценкой и разработкой методики инженер-программист создаёт программное обеспечение стенда — встроенные программы плат камеры и приёмника, передающие видео по каналу Wi-Fi HaLow и регистрирующие его показатели, а также программу приёма и отображения на компьютере. Обработку результатов выполняет руководитель НИР: сопоставляет измерения с теоретической оценкой и с другими протоколами и формулирует рекомендации по применению технологии. Его участие особенно важно на этом этапе, поскольку от выводов зависит практическая ценность работы. Оформление отчёта, включая расчёты экономической части и раздела охраны труда по готовым исходным данным, поручается технику.</w:t>
      </w:r>
    </w:p>
    <w:p>
      <w:r>
        <w:t>Месячные оклады исполнителей приняты по данным рынка труда г. Москвы для специалистов соответствующей квалификации [46]: руководитель НИР — 175 000 руб., инженер-исследователь и инженер-программист — 102 900 руб., техник — 90 000 руб. Дневная ставка равна окладу, умноженному на 12 и делённому на 247 рабочих дней 2026 г. [47].</w:t>
      </w:r>
    </w:p>
    <w:p>
      <w:r>
        <w:t>Каждую работу выполняет один исполнитель, и её трудоёмкость равна ожидаемой продолжительности (таблица 4.4). Итоговые сведения об оплате труда исполнителей приведены в таблице 4.5.</w:t>
      </w:r>
    </w:p>
    <w:p>
      <w:pPr>
        <w:pStyle w:val="TableCaption"/>
        <w:ind w:firstLine="0"/>
      </w:pPr>
      <w:r>
        <w:t>Таблица 4.5 – Расчёт заработной платы исполнителей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1020"/>
        <w:gridCol w:w="1474"/>
        <w:gridCol w:w="2948"/>
        <w:gridCol w:w="1247"/>
        <w:gridCol w:w="1360"/>
        <w:gridCol w:w="1474"/>
      </w:tblGrid>
      <w:tr>
        <w:trPr>
          <w:cantSplit/>
          <w:tblHeader w:val="true"/>
        </w:trPr>
        <w:tc>
          <w:tcPr>
            <w:tcW w:type="dxa" w:w="1020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№ работы</w:t>
            </w:r>
          </w:p>
        </w:tc>
        <w:tc>
          <w:tcPr>
            <w:tcW w:type="dxa" w:w="1474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Трудо-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ёмкость, чел.-дн.</w:t>
            </w:r>
          </w:p>
        </w:tc>
        <w:tc>
          <w:tcPr>
            <w:tcW w:type="dxa" w:w="4195"/>
            <w:gridSpan w:val="2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Исполнители</w:t>
            </w:r>
          </w:p>
        </w:tc>
        <w:tc>
          <w:tcPr>
            <w:tcW w:type="dxa" w:w="1361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Дневная ставка, руб.</w:t>
            </w:r>
          </w:p>
        </w:tc>
        <w:tc>
          <w:tcPr>
            <w:tcW w:type="dxa" w:w="1474"/>
            <w:vMerge w:val="restart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Заработ-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ная плата, руб.</w:t>
            </w:r>
          </w:p>
        </w:tc>
      </w:tr>
      <w:tr>
        <w:trPr>
          <w:cantSplit/>
          <w:tblHeader w:val="true"/>
        </w:trPr>
        <w:tc>
          <w:tcPr>
            <w:tcW w:type="dxa" w:w="1020"/>
            <w:vMerge/>
            <w:vAlign w:val="center"/>
          </w:tcPr>
          <w:p>
            <w:pPr>
              <w:keepNext/>
            </w:pPr>
          </w:p>
        </w:tc>
        <w:tc>
          <w:tcPr>
            <w:tcW w:type="dxa" w:w="1474"/>
            <w:vMerge/>
            <w:vAlign w:val="center"/>
          </w:tcPr>
          <w:p>
            <w:pPr>
              <w:keepNext/>
            </w:pP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Должность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Числен-</w:t>
            </w:r>
          </w:p>
          <w:p>
            <w:pPr>
              <w:pStyle w:val="TableText"/>
              <w:keepNext/>
              <w:jc w:val="center"/>
            </w:pPr>
            <w:r>
              <w:rPr>
                <w:b/>
                <w:sz w:val="20"/>
              </w:rPr>
              <w:t>ность, чел.</w:t>
            </w:r>
          </w:p>
        </w:tc>
        <w:tc>
          <w:tcPr>
            <w:tcW w:type="dxa" w:w="1361"/>
            <w:vMerge/>
            <w:vAlign w:val="center"/>
          </w:tcPr>
          <w:p>
            <w:pPr>
              <w:keepNext/>
            </w:pPr>
          </w:p>
        </w:tc>
        <w:tc>
          <w:tcPr>
            <w:tcW w:type="dxa" w:w="1474"/>
            <w:vMerge/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Инженер-исследователь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5 000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55 000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Инженер-исследователь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5 000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50 000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Инженер-программист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5 000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85 000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Инженер-исследователь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5 000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35 000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Инженер-исследователь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5 000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110 000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Руководитель НИР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8 500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68 000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Техник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4 370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48 070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  <w:t>86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jc w:val="right"/>
            </w:pPr>
            <w:r>
              <w:rPr>
                <w:b/>
                <w:sz w:val="22"/>
              </w:rPr>
              <w:t>451 070</w:t>
            </w:r>
          </w:p>
        </w:tc>
      </w:tr>
    </w:tbl>
    <w:p>
      <w:pPr>
        <w:spacing w:line="240" w:lineRule="auto"/>
      </w:pPr>
    </w:p>
    <w:p>
      <w:pPr>
        <w:keepNext/>
      </w:pPr>
      <w:r>
        <w:t>Суммарные затраты на заработную плату:</w:t>
      </w:r>
    </w:p>
    <w:p>
      <w:pPr>
        <w:pStyle w:val="Formula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55 000 + 50 000 + 85 000 + 35 000 + 110 000 + 68 000 + 48 070 = 451 070 руб.</m:t>
        </m:r>
      </m:oMath>
    </w:p>
    <w:p>
      <w:pPr>
        <w:keepNext/>
      </w:pPr>
      <w:r>
        <w:t>Помимо основных выплат исполнителям предусмотрена премия 20 % [45] за добросовестное выполнение и своевременную сдачу этапов НИР. Фонд оплаты труда, выделяемый на НИР: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ЗП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1,2·451 070 = 541 284 руб.</m:t>
        </m:r>
      </m:oMath>
    </w:p>
    <w:p>
      <w:r>
        <w:t>К расходам на персонал относятся также отчисления на социальные нужды. Согласно действующим нормативам их суммарный тариф составляет 30,2 % от фонда оплаты труда: единый тариф страховых взносов 30 % [48] и взносы на страхование от несчастных случаев на производстве 0,2 %. Эти средства включают:</w:t>
      </w:r>
    </w:p>
    <w:p>
      <w:r>
        <w:t xml:space="preserve">– </w:t>
      </w:r>
      <w:r>
        <w:t>22 % — на обязательное пенсионное страхование;</w:t>
      </w:r>
    </w:p>
    <w:p>
      <w:r>
        <w:t xml:space="preserve">– </w:t>
      </w:r>
      <w:r>
        <w:t>5,1 % — на обязательное медицинское страхование;</w:t>
      </w:r>
    </w:p>
    <w:p>
      <w:r>
        <w:t xml:space="preserve">– </w:t>
      </w:r>
      <w:r>
        <w:t>2,9 % — на обязательное социальное страхование на случай временной нетрудоспособности и в связи с материнством;</w:t>
      </w:r>
    </w:p>
    <w:p>
      <w:r>
        <w:t xml:space="preserve">– </w:t>
      </w:r>
      <w:r>
        <w:t>0,2 % — на страхование от несчастных случаев на производстве и профессиональных заболеваний.</w:t>
      </w:r>
    </w:p>
    <w:p>
      <w:pPr>
        <w:keepNext/>
      </w:pPr>
      <w:r>
        <w:t>Отчисления на социальные нужды: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СОЦ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0,302·541 284 = 163 468 руб.</m:t>
        </m:r>
      </m:oMath>
    </w:p>
    <w:p>
      <w:r>
        <w:t>Затраты на материалы, полуфабрикаты и покупные комплектующие изделия определены прямым счётом (таблица 4.6). К ним отнесены платы LilyGO T-HaLow, модули камеры, микросхемы флеш-памяти и программатор, кабели, аккумуляторы с зарядным устройством, а также бумага, картриджи для принтера и канцелярские принадлежности. Цена платы LilyGO T-HaLow 37,98 долл. США [30] по курсу 84,1975 руб./долл. на 20.09.2026 [49] составляет 3 198 руб.</w:t>
      </w:r>
    </w:p>
    <w:p>
      <w:pPr>
        <w:pStyle w:val="TableCaption"/>
        <w:ind w:firstLine="0"/>
      </w:pPr>
      <w:r>
        <w:t>Таблица 4.6 – Стоимость материалов и покупных комплектующих изделий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453"/>
        <w:gridCol w:w="4818"/>
        <w:gridCol w:w="850"/>
        <w:gridCol w:w="850"/>
        <w:gridCol w:w="1133"/>
        <w:gridCol w:w="1247"/>
      </w:tblGrid>
      <w:tr>
        <w:trPr>
          <w:cantSplit/>
          <w:tblHeader w:val="true"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Наименование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Ед.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Кол-во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Цена, руб.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Отладочная плата LilyGO T-HaLow (ESP32-S3 + TX-AH-R900P)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3 198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6 396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Модуль камеры OV5640 (основной и запасной)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1 100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2 200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Микросхема флеш-памяти W25Q32JVSSIQ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200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Программатор CH341A с зажимом SOIC-8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714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714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Кабель USB Type-C с передачей данных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350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700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Аккумулятор Li-Ion 18650, 3000 мА·ч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450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1 800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Зарядное устройство для аккумуляторов 18650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900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900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Бумага офисная А4, 500 листов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пачка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550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2 750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Картридж для лазерного принтера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3 200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6 400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Канцелярские принадлежности, журналы полевых измерений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компл.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2 500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2 500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right"/>
            </w:pPr>
            <w:r>
              <w:rPr>
                <w:b/>
                <w:sz w:val="22"/>
              </w:rPr>
              <w:t>24 560</w:t>
            </w:r>
          </w:p>
        </w:tc>
      </w:tr>
    </w:tbl>
    <w:p>
      <w:pPr>
        <w:spacing w:line="240" w:lineRule="auto"/>
      </w:pPr>
    </w:p>
    <w:p>
      <w:pPr>
        <w:keepNext/>
      </w:pPr>
      <w:r>
        <w:t xml:space="preserve">Себестоимость НИР определим исходя из принятой оценки удельного веса расходов на оплату труда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ЗП</m:t>
            </m:r>
          </m:sub>
        </m:sSub>
      </m:oMath>
      <w:r>
        <w:t xml:space="preserve"> в себестоимости [45]: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НТПр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ЗП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ЗП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.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(4.6)</w:t>
            </w:r>
          </w:p>
        </w:tc>
      </w:tr>
    </w:tbl>
    <w:p>
      <w:pPr>
        <w:keepNext/>
      </w:pPr>
      <w:r>
        <w:t xml:space="preserve">В типовой структуре затрат на НИР удельный вес заработной платы составляет 34 % [45]. В настоящей работе он принят выше —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ЗП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40 %</m:t>
        </m:r>
      </m:oMath>
      <w:r>
        <w:t>: специального оборудования, работ сторонних организаций и командировок в НИР нет, и основную часть затрат составляет труд исполнителей. Себестоимость НИР: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НТПр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541 284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0,4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1 353 210 руб.</m:t>
        </m:r>
      </m:oMath>
    </w:p>
    <w:p>
      <w:r>
        <w:t>Поэлементная структура затрат на НИР приведена в таблице 4.7. Материалы и покупные комплектующие изделия взяты по прямому счёту (таблица 4.6), заработная плата — по фонду оплаты труда, расходы на социальные нужды — по тарифу 30,2 % от него, прочие расходы — 5 % себестоимости [45]. Накладные расходы составляют оставшуюся часть себестоимости.</w:t>
      </w:r>
    </w:p>
    <w:p>
      <w:pPr>
        <w:pStyle w:val="TableCaption"/>
        <w:ind w:firstLine="0"/>
      </w:pPr>
      <w:r>
        <w:t>Таблица 4.7 – Поэлементная структура затрат на НИР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5952"/>
        <w:gridCol w:w="1814"/>
        <w:gridCol w:w="1814"/>
      </w:tblGrid>
      <w:tr>
        <w:trPr>
          <w:cantSplit/>
          <w:tblHeader w:val="true"/>
        </w:trPr>
        <w:tc>
          <w:tcPr>
            <w:tcW w:type="dxa" w:w="5953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Наименование элементов затрат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Сумма, руб.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4"/>
              </w:rPr>
              <w:t>Удельный вес, %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Материалы, полуфабрикаты, покупные комплектующие изделия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4"/>
              </w:rPr>
              <w:t>24 560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1,8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Заработная плата исполнителей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4"/>
              </w:rPr>
              <w:t>541 284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40,0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Расходы на социальные нужды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4"/>
              </w:rPr>
              <w:t>163 468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12,1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Накладные расходы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4"/>
              </w:rPr>
              <w:t>556 238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41,1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4"/>
              </w:rPr>
              <w:t>Прочие расходы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4"/>
              </w:rPr>
              <w:t>67 660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4"/>
              </w:rPr>
              <w:t>5,0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right"/>
            </w:pPr>
            <w:r>
              <w:rPr>
                <w:b/>
                <w:sz w:val="24"/>
              </w:rPr>
              <w:t>1 353 210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4"/>
              </w:rPr>
              <w:t>100,0</w:t>
            </w:r>
          </w:p>
        </w:tc>
      </w:tr>
    </w:tbl>
    <w:p>
      <w:pPr>
        <w:spacing w:line="240" w:lineRule="auto"/>
      </w:pPr>
    </w:p>
    <w:p>
      <w:r>
        <w:t>Материалы и комплектующие стоят 24 560 руб., или 1,8 % себестоимости: в НИР используются недорогие серийные отладочные платы, а не специальное оборудование. Накладные расходы составляют 556 238 руб., или 41,1 % себестоимости. В них входят:</w:t>
      </w:r>
    </w:p>
    <w:p>
      <w:r>
        <w:t xml:space="preserve">– </w:t>
      </w:r>
      <w:r>
        <w:t>аренда помещения, оплата электроэнергии (освещение помещения, питание компьютеров и стенда) и отопления — 20 % от заработной платы исполнителей: 0,2·541 284 = 108 257 руб.;</w:t>
      </w:r>
    </w:p>
    <w:p>
      <w:r>
        <w:t xml:space="preserve">– </w:t>
      </w:r>
      <w:r>
        <w:t>заработная плата административного и вспомогательного персонала, не участвующего в НИР (бухгалтерия, лаборанты, уборка помещений), и содержание вычислительной техники — остальные 447 981 руб.</w:t>
      </w:r>
    </w:p>
    <w:p>
      <w:r>
        <w:t>К прочим расходам отнесены оплата мобильной связи и интернета, поездки на полевую площадку для натурных испытаний и доступ к стандартам и научным публикациям по тематике исследования.</w:t>
      </w:r>
    </w:p>
    <w:p>
      <w:pPr>
        <w:keepNext/>
      </w:pPr>
      <w:r>
        <w:t>Цена НИР определяется исходя из обеспечения безубыточности организации, которая её выполняет [45]. Параметром, обеспечивающим безубыточность, служит уровень рентабельности по отношению к оплате труда: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НТПр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НТПр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+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ЗП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·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ЗП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(4.7)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ЗП</m:t>
            </m:r>
          </m:sub>
        </m:sSub>
      </m:oMath>
      <w:r>
        <w:t xml:space="preserve"> – уровень рентабельности по отношению к оплате труда, 200–400 % [45]. Принято среднее значение 300 %: результаты работы прикладные и непосредственно используются при проектировании каналов связи, что оправдывает рентабельность выше минимальной; вместе с тем они получены на одной аппаратной платформе в наземных испытаниях и ещё не проверены в полёте на борту БПЛА, что не позволяет принять верхнюю границу: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НТПр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1 353 210 + 541 284·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300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100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2 977 062 руб.</m:t>
        </m:r>
      </m:oMath>
    </w:p>
    <w:p>
      <w:r>
        <w:t>В дальнейшем результаты НИР — измеренные характеристики канала, методика испытаний, программное обеспечение стенда и рекомендации по применению Wi-Fi HaLow — могут передаваться предприятиям — разработчикам систем связи БПЛА по лицензионным договорам. Стоимость такой лицензии определяется экономическим эффектом от применения результатов, который рассчитан в подразделе 4.4.</w:t>
      </w:r>
    </w:p>
    <w:p>
      <w:pPr>
        <w:pStyle w:val="Heading2"/>
      </w:pPr>
      <w:r>
        <w:t>4.4 Определение и оценка основных показателей экономической эффективности</w:t>
      </w:r>
    </w:p>
    <w:p>
      <w:r>
        <w:t xml:space="preserve">Основными показателями экономической эффективности являются годовой экономический эффект </w:t>
      </w:r>
      <m:oMath>
        <m:sSub>
          <m:e>
            <m:r>
              <w:rPr>
                <w:rFonts w:ascii="Cambria Math" w:hAnsi="Cambria Math"/>
              </w:rPr>
              <m:t xml:space="preserve"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НИР</m:t>
            </m:r>
          </m:sub>
        </m:sSub>
      </m:oMath>
      <w:r>
        <w:t xml:space="preserve">, уровень экономической эффективности затрат на НИР </w:t>
      </w:r>
      <m:oMath>
        <m:sSub>
          <m:e>
            <m:r>
              <w:rPr>
                <w:rFonts w:ascii="Cambria Math" w:hAnsi="Cambria Math"/>
              </w:rPr>
              <m:t xml:space="preserve">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НИР</m:t>
            </m:r>
          </m:sub>
        </m:sSub>
      </m:oMath>
      <w:r>
        <w:t xml:space="preserve"> и срок окупаемости вложений </w:t>
      </w:r>
      <m:oMath>
        <m:sSub>
          <m:e>
            <m:r>
              <w:rPr>
                <w:rFonts w:ascii="Cambria Math" w:hAnsi="Cambria Math"/>
              </w:rPr>
              <m:t xml:space="preserve"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ОК</m:t>
            </m:r>
          </m:sub>
        </m:sSub>
      </m:oMath>
      <w:r>
        <w:t xml:space="preserve"> [45].</w:t>
      </w:r>
    </w:p>
    <w:p>
      <w:pPr>
        <w:keepNext/>
      </w:pPr>
      <w:r>
        <w:t>Результатом НИР является не серийное изделие, а научно-технический результат — измеренные характеристики канала Wi-Fi HaLow и рекомендации по его применению. Непосредственно выручки он не приносит; его ценность проявляется у предприятия, которое использует результаты при проектировании каналов связи: оно решает ту же задачу с меньшими затратами. Поэтому экономический эффект НИР определяется как экономия затрат у потребителя её результатов [45]. В настоящей работе такая экономия возникает при создании линий связи с БПЛА: результаты позволяют выбрать технологию, дающую наибольшую дальность одного пролёта, и тем самым сократить число наземных ретрансляторов. Годовой экономический эффект определяется по формуле [45]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Э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НИР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НТПр Б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НТПр Н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Т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(4.8)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НТПр Б</m:t>
            </m:r>
          </m:sub>
        </m:sSub>
      </m:oMath>
      <w:r>
        <w:t xml:space="preserve"> – затраты на создание линий связи с БПЛА без использования результатов НИР (базовый вариант — Wi-Fi 2,4 ГГц), руб.;</w:t>
      </w:r>
    </w:p>
    <w:p>
      <m:oMath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</m:t>
            </m:r>
          </m:sub>
        </m:sSub>
      </m:oMath>
      <w:r>
        <w:t xml:space="preserve"> – индекс научно-технической прогрессивности относительно Wi-Fi 2,4 ГГц по формуле (4.1);</w:t>
      </w:r>
    </w:p>
    <w:p>
      <m:oMath>
        <m:sSub>
          <m:e>
            <m:r>
              <w:rPr>
                <w:rFonts w:ascii="Cambria Math" w:hAnsi="Cambria Math"/>
              </w:rPr>
              <m:t xml:space="preserve"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НТПр Н</m:t>
            </m:r>
          </m:sub>
        </m:sSub>
      </m:oMath>
      <w:r>
        <w:t xml:space="preserve"> – затраты на создание тех же линий с использованием результатов НИР (новый вариант — Wi-Fi HaLow), руб.;</w:t>
      </w:r>
    </w:p>
    <w:p>
      <m:oMath>
        <m:sSub>
          <m:e>
            <m:r>
              <w:rPr>
                <w:rFonts w:ascii="Cambria Math" w:hAnsi="Cambria Math"/>
              </w:rPr>
              <m:t xml:space="preserve"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</m:t>
            </m:r>
          </m:sub>
        </m:sSub>
      </m:oMath>
      <w:r>
        <w:t xml:space="preserve"> – период, за который создаются линии, лет.</w:t>
      </w:r>
    </w:p>
    <w:p>
      <w:r>
        <w:t>При мониторинге местности БПЛА уходит от наземного пункта дальше, чем позволяет один радиоканал, и связь с ним обеспечивается цепочкой наземных ретрансляторов вдоль маршрута. Чем больше дальность одного пролёта, тем меньше ретрансляторов нужно.</w:t>
      </w:r>
    </w:p>
    <w:p>
      <w:r>
        <w:t>Поэтому пролёт стремятся сделать как можно длиннее. Дальность пролёта в оценке — практическая граница связи той же пары плат T-HaLow на трассе прямой видимости при нормах мощности Российской Федерации: 0,87 км для Wi-Fi 2,4 ГГц при 20 дБм и 1,55 км для Wi-Fi HaLow при 14 дБм. Несмотря на меньшую разрешённую мощность, Wi-Fi HaLow уходит дальше: допустимые потери на трассе у обеих технологий близки, а на частоте ниже 1 ГГц сигнал затухает меньше. На расстояниях от 0,87 до 1,55 км связь сохраняет только Wi-Fi HaLow.</w:t>
      </w:r>
    </w:p>
    <w:p>
      <w:r>
        <w:t>Ретранслятор составляют две платы LilyGO T-HaLow в общем корпусе, установленном на опоре или мачте: одна принимает данные с предыдущего пролёта, другая передаёт их на следующий на другом частотном канале. Две платы нужны потому, что радиомодуль не может одновременно принимать и передавать: одна плата, пересылающая поток поочерёдно, вдвое снизила бы скорость линии. Платы соединены между собой короткими проводниками внутри корпуса, а между ретрансляторами связь беспроводная. Оба радиотракта — Wi-Fi HaLow и Wi-Fi 2,4 ГГц — находятся на той же плате, поэтому ретранслятор в обоих вариантах одинаков, и варианты различаются только числом ретрансляторов. Состав и стоимость ретранслятора приведены в таблице 4.8 (цены — по таблице 4.6).</w:t>
      </w:r>
    </w:p>
    <w:p>
      <w:pPr>
        <w:pStyle w:val="TableCaption"/>
        <w:ind w:firstLine="0"/>
      </w:pPr>
      <w:r>
        <w:t>Таблица 4.8 – Состав и стоимость ретранслятора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566"/>
        <w:gridCol w:w="5385"/>
        <w:gridCol w:w="1020"/>
        <w:gridCol w:w="1133"/>
        <w:gridCol w:w="1247"/>
      </w:tblGrid>
      <w:tr>
        <w:trPr>
          <w:cantSplit/>
          <w:tblHeader w:val="true"/>
        </w:trPr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Наименование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Кол-во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Цена, руб.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Плата LilyGO T-HaLow (ESP32-S3 + TX-AH-R900P)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3 198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6 396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sz w:val="22"/>
              </w:rPr>
              <w:t>Аккумулятор Li-Ion 18650, 3000 мА·ч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sz w:val="22"/>
              </w:rPr>
              <w:t>450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sz w:val="22"/>
              </w:rPr>
              <w:t>900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jc w:val="left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  <w:jc w:val="right"/>
            </w:pPr>
            <w:r>
              <w:rPr>
                <w:b/>
                <w:sz w:val="22"/>
              </w:rPr>
              <w:t>7 296</w:t>
            </w:r>
          </w:p>
        </w:tc>
      </w:tr>
    </w:tbl>
    <w:p>
      <w:pPr>
        <w:spacing w:line="240" w:lineRule="auto"/>
      </w:pPr>
    </w:p>
    <w:p>
      <w:pPr>
        <w:keepNext/>
      </w:pPr>
      <w:r>
        <w:t>Ретранслятор ставится в конце каждого пролёта, поэтому на маршрутах общей протяжённостью L требуется N = ⌈L/d⌉ ретрансляторов, где d — дальность пролёта. Объём применения оценён по облёту линий электропередачи — одной из задач мониторинга местности, по которой есть сводные данные о протяжённости: под управлением группы «Россети» находится 2,5 млн км линий электропередачи [50]. Если каналами связи с БПЛА ежегодно оснащается 0,24 % этой сети, то есть L = 6 000 км, потребуется ретрансляторов: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Б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⌈6 000/0,87⌉ = 6 897;   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⌈6 000/1,55⌉ = 3 871.</m:t>
        </m:r>
      </m:oMath>
    </w:p>
    <w:p>
      <w:pPr>
        <w:keepNext/>
      </w:pPr>
      <w:r>
        <w:t>Другие задачи мониторинга местности в оценку не включены, поэтому полученный эффект является оценкой снизу. Затраты базового варианта: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НТПр Б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6 897·7 296 = 50 320 512 руб.</m:t>
        </m:r>
      </m:oMath>
    </w:p>
    <w:p>
      <w:pPr>
        <w:keepNext/>
      </w:pPr>
      <w:r>
        <w:t>Затраты нового варианта: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НТПр Н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3 871·7 296 = 28 242 816 руб.</m:t>
        </m:r>
      </m:oMath>
    </w:p>
    <w:p>
      <w:pPr>
        <w:keepNext/>
      </w:pPr>
      <w:r>
        <w:t xml:space="preserve">Подставив значения в формулу (4.8) при </w:t>
      </w:r>
      <m:oMath>
        <m:sSub>
          <m:e>
            <m:r>
              <w:rPr>
                <w:rFonts w:ascii="Cambria Math" w:hAnsi="Cambria Math"/>
              </w:rPr>
              <m:t xml:space="preserve"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1</m:t>
        </m:r>
      </m:oMath>
      <w:r>
        <w:t xml:space="preserve"> год, найдём экономический эффект:</w:t>
      </w:r>
    </w:p>
    <w:p>
      <w:pPr>
        <w:pStyle w:val="Formula"/>
        <w:jc w:val="center"/>
      </w:pPr>
      <m:oMath>
        <m:sSub>
          <m:e>
            <m:r>
              <w:rPr>
                <w:rFonts w:ascii="Cambria Math" w:hAnsi="Cambria Math"/>
              </w:rPr>
              <m:t xml:space="preserve"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НИР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50 320 512·1,33 - 28 242 816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38 683 465 руб./год.</m:t>
        </m:r>
      </m:oMath>
    </w:p>
    <w:p>
      <w:pPr>
        <w:keepNext/>
      </w:pPr>
      <w:r>
        <w:t>Эффект реализуется у предприятия, применяющего результаты; разработчику НИР по условиям лицензирования приходится его доля α. По методике [45] она определяется укрупнённо, пропорционально затратам участников создания и применения НТПр: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r>
                <w:rPr>
                  <w:rFonts w:ascii="Cambria Math" w:hAnsi="Cambria Math"/>
                </w:rPr>
                <m:t xml:space="preserve"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НТПр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НТПр Н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1 353 210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1 353 210 + 28 242 816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0,05.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(4.9)</w:t>
            </w:r>
          </w:p>
        </w:tc>
      </w:tr>
    </w:tbl>
    <w:p>
      <w:pPr>
        <w:keepNext/>
      </w:pPr>
      <w:r>
        <w:t>Уровень экономической эффективности затрат на НИР [45]: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НИР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Э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НИР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·</m:t>
                  </m:r>
                  <m:r>
                    <w:rPr>
                      <w:rFonts w:ascii="Cambria Math" w:hAnsi="Cambria Math"/>
                    </w:rPr>
                    <m:t xml:space="preserve">α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НТПр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38 683 465·0,05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2 977 062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0,65,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(4.10)</w:t>
            </w:r>
          </w:p>
        </w:tc>
      </w:tr>
    </w:tbl>
    <w:p>
      <w:pPr>
        <w:ind w:firstLine="0"/>
      </w:pPr>
      <w: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НТПр</m:t>
            </m:r>
          </m:sub>
        </m:sSub>
      </m:oMath>
      <w:r>
        <w:t xml:space="preserve"> – цена НИР, руб. (подраздел 4.3).</w:t>
      </w:r>
    </w:p>
    <w:p>
      <w:pPr>
        <w:keepNext/>
      </w:pPr>
      <w:r>
        <w:t>Срок окупаемости как величина, обратная экономической эффективности: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13"/>
        <w:gridCol w:w="1020"/>
      </w:tblGrid>
      <w:tr>
        <w:tc>
          <w:tcPr>
            <w:tcW w:type="dxa" w:w="1020"/>
            <w:vAlign w:val="center"/>
          </w:tcPr>
          <w:p>
            <w:pPr>
              <w:pStyle w:val="Formula"/>
            </w:pPr>
          </w:p>
        </w:tc>
        <w:tc>
          <w:tcPr>
            <w:tcW w:type="dxa" w:w="7313"/>
            <w:vAlign w:val="center"/>
          </w:tcPr>
          <w:p>
            <w:pPr>
              <w:pStyle w:val="Formula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ОК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НИР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0,65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1,54 года.</m:t>
              </m:r>
            </m:oMath>
          </w:p>
        </w:tc>
        <w:tc>
          <w:tcPr>
            <w:tcW w:type="dxa" w:w="1020"/>
            <w:vAlign w:val="center"/>
          </w:tcPr>
          <w:p>
            <w:pPr>
              <w:pStyle w:val="Formula"/>
              <w:jc w:val="right"/>
            </w:pPr>
            <w:r>
              <w:t>(4.11)</w:t>
            </w:r>
          </w:p>
        </w:tc>
      </w:tr>
    </w:tbl>
    <w:p>
      <w:r>
        <w:t>Срок окупаемости составляет около 18 месяцев. Для наукоёмкой продукции уровень эффективности должен быть не менее 0,5, то есть вложения должны окупаться в пределах двух лет [45]; полученное значение 0,65 этому требованию удовлетворяет. Расчёт выполнен для одного предприятия; при передаче результатов нескольким предприятиям срок окупаемости сократится.</w:t>
      </w:r>
    </w:p>
    <w:p>
      <w:pPr>
        <w:pStyle w:val="Heading2"/>
      </w:pPr>
      <w:r>
        <w:t>4.5 Выводы</w:t>
      </w:r>
    </w:p>
    <w:p>
      <w:r>
        <w:t>В ходе выполнения экономической части ВКР было приведено технико-экономическое обоснование НИР по исследованию эффективности технологии Wi-Fi HaLow для каналов связи с БПЛА. Определены следующие показатели:</w:t>
      </w:r>
    </w:p>
    <w:p>
      <w:r>
        <w:t xml:space="preserve">– </w:t>
      </w:r>
      <w:r>
        <w:t>индекс научно-технической прогрессивности — 1,33 относительно Wi-Fi 2,4 ГГц и 1,80 относительно LoRa;</w:t>
      </w:r>
    </w:p>
    <w:p>
      <w:r>
        <w:t xml:space="preserve">– </w:t>
      </w:r>
      <w:r>
        <w:t>продолжительность НИР — 69 календарных дней, при максимальных оценках длительности работ — не более 87 дней;</w:t>
      </w:r>
    </w:p>
    <w:p>
      <w:r>
        <w:t xml:space="preserve">– </w:t>
      </w:r>
      <w:r>
        <w:t>себестоимость НИР — 1 353 210 руб., цена — 2 977 062 руб.;</w:t>
      </w:r>
    </w:p>
    <w:p>
      <w:r>
        <w:t xml:space="preserve">– </w:t>
      </w:r>
      <w:r>
        <w:t>годовой экономический эффект — 38 683 465 руб. за счёт сокращения числа ретрансляторов с 6 897 до 3 871;</w:t>
      </w:r>
    </w:p>
    <w:p>
      <w:r>
        <w:t xml:space="preserve">– </w:t>
      </w:r>
      <w:r>
        <w:t>уровень экономической эффективности — 0,65 при нормативе 0,5;</w:t>
      </w:r>
    </w:p>
    <w:p>
      <w:r>
        <w:t xml:space="preserve">– </w:t>
      </w:r>
      <w:r>
        <w:t>срок окупаемости вложений — 18 месяцев.</w:t>
      </w:r>
    </w:p>
    <w:p>
      <w:r>
        <w:t>С учётом приведённых расчётов можно сделать вывод о том, что исследование является прогрессивным и экономически целесообразным.</w:t>
      </w:r>
    </w:p>
    <w:sectPr w:rsidR="00FC693F" w:rsidRPr="0006063C" w:rsidSect="00034616">
      <w:footerReference w:type="default" r:id="rId9"/>
      <w:headerReference w:type="default" r:id="rId11"/>
      <w:pgSz w:w="11906" w:h="16838"/>
      <w:pgMar w:top="1134" w:right="850" w:bottom="1417" w:left="1701" w:header="283" w:footer="283" w:gutter="0"/>
      <w:cols w:space="720"/>
      <w:docGrid w:linePitch="360"/>
      <w:pgNumType w:start="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170" w:lineRule="exact"/>
      <w:ind w:firstLine="0"/>
      <w:rPr>
        <w:sz w:val="2"/>
      </w:rPr>
    </w:pPr>
  </w:p>
  <w:tbl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  <w:tblInd w:w="-567" w:type="dxa"/>
    </w:tblPr>
    <w:tblGrid>
      <w:gridCol w:w="397"/>
      <w:gridCol w:w="567"/>
      <w:gridCol w:w="1304"/>
      <w:gridCol w:w="851"/>
      <w:gridCol w:w="567"/>
      <w:gridCol w:w="6235"/>
      <w:gridCol w:w="567"/>
    </w:tblGrid>
    <w:tr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1304" w:type="dxa"/>
          <w:tcBorders>
            <w:top w:val="single" w:sz="18" w:space="0" w:color="auto"/>
            <w:left w:val="nil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top w:val="single" w:sz="18" w:space="0" w:color="auto"/>
            <w:left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6235" w:type="dxa"/>
          <w:vMerge w:val="restart"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i w:val="0"/>
              <w:lang w:val="ru-RU"/>
            </w:rPr>
            <w:jc w:val="center"/>
          </w:pPr>
          <w:r>
            <w:rPr>
              <w:rFonts w:ascii="Arial" w:hAnsi="Arial" w:cs="Arial" w:eastAsia="Arial"/>
              <w:i/>
              <w:sz w:val="32"/>
              <w:szCs w:val="32"/>
            </w:rPr>
            <w:t xml:space="preserve">МАИР.460327.001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Лист</w:t>
          </w:r>
        </w:p>
      </w:tc>
    </w:tr>
    <w:tr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397" w:type="dxa"/>
          <w:tcBorders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851" w:type="dxa"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vMerge w:val="restart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  <w:jc w:val="center"/>
          </w:pPr>
          <w:r>
            <w:rPr>
              <w:rFonts w:ascii="Arial" w:hAnsi="Arial" w:cs="Arial" w:eastAsia="Arial"/>
              <w:i/>
              <w:sz w:val="22"/>
              <w:szCs w:val="22"/>
            </w:rPr>
            <w:fldChar w:fldCharType="begin"/>
          </w:r>
          <w:r>
            <w:rPr>
              <w:rFonts w:ascii="Arial" w:hAnsi="Arial" w:cs="Arial" w:eastAsia="Arial"/>
              <w:i/>
              <w:sz w:val="22"/>
              <w:szCs w:val="22"/>
            </w:rPr>
            <w:instrText xml:space="preserve"> PAGE </w:instrText>
          </w:r>
          <w:r>
            <w:rPr>
              <w:rFonts w:ascii="Arial" w:hAnsi="Arial" w:cs="Arial" w:eastAsia="Arial"/>
              <w:i/>
              <w:sz w:val="22"/>
              <w:szCs w:val="22"/>
            </w:rPr>
            <w:fldChar w:fldCharType="end"/>
          </w:r>
        </w:p>
      </w:tc>
    </w:tr>
    <w:tr>
      <w:tblPrEx>
        <w:tblCellMar>
          <w:top w:w="0" w:type="dxa"/>
          <w:bottom w:w="0" w:type="dxa"/>
        </w:tblCellMar>
      </w:tblPrEx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№ докум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jc w:val="center"/>
            <w:rPr>
              <w:rFonts w:ascii="Times New Roman" w:hAnsi="Times New Roman"/>
              <w:sz w:val="17"/>
            </w:rPr>
          </w:pPr>
          <w:r>
            <w:rPr>
              <w:rFonts w:ascii="Arial" w:hAnsi="Arial" w:cs="Arial" w:eastAsia="Arial"/>
              <w:i/>
              <w:sz w:val="17"/>
            </w:rPr>
            <w:t>Дата</w:t>
          </w:r>
        </w:p>
      </w:tc>
      <w:tc>
        <w:tcPr>
          <w:tcW w:w="6235" w:type="dxa"/>
          <w:vMerge/>
          <w:tcBorders>
            <w:top w:val="single" w:sz="18" w:space="0" w:color="auto"/>
            <w:left w:val="nil"/>
            <w:bottom w:val="single" w:sz="4" w:space="0" w:color="auto"/>
            <w:right w:val="single" w:sz="18" w:space="0" w:color="auto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  <w:tc>
        <w:tcPr>
          <w:tcW w:w="567" w:type="dxa"/>
          <w:vMerge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>
          <w:pPr>
            <w:spacing w:before="0" w:after="0" w:line="240" w:lineRule="auto"/>
            <w:ind w:firstLine="0" w:left="0"/>
            <w:rPr>
              <w:sz w:val="18"/>
            </w:rPr>
          </w:pPr>
        </w:p>
      </w:tc>
    </w:tr>
  </w:tbl>
  <w:p>
    <w:pPr>
      <w:spacing w:before="0" w:after="0" w:line="20" w:lineRule="exact"/>
      <w:ind w:firstLine="0"/>
      <w:rPr>
        <w:sz w:val="2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pict>
        <v:rect id="vkr_frame" o:allowincell="f" filled="f" strokeweight="1.5pt" style="position:absolute;margin-left:56.69pt;margin-top:14.17pt;width:524.41pt;height:813.54pt;z-index:-251657216;mso-position-horizontal-relative:page;mso-position-vertical-relative:page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Normal"/>
    <w:pPr>
      <w:spacing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TableCaption">
    <w:name w:val="TableCaption"/>
    <w:basedOn w:val="Normal"/>
    <w:pPr>
      <w:keepNext/>
      <w:spacing w:before="120"/>
      <w:ind w:firstLine="0"/>
      <w:jc w:val="left"/>
    </w:pPr>
  </w:style>
  <w:style w:type="paragraph" w:customStyle="1" w:styleId="Formula">
    <w:name w:val="Formula"/>
    <w:basedOn w:val="Normal"/>
    <w:pPr>
      <w:spacing w:before="120" w:after="120"/>
      <w:ind w:firstLine="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