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[11,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(на плате этой работы — после устранения помех камеры, раздел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[7]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27],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главный для данной платформы. Таблица </w:t>
      </w:r>
      <w:r>
        <w:t>3.9</w:t>
      </w:r>
      <w:r>
        <w:t xml:space="preserve"> считает шум приёмника тепловым, а у платы с камерой измеренный фон на 27 дБ выше (−60 против −87 дБм, раздел 2.2). Плата с камерой принимает подтверждения и квитанции, поэтому её фон ограничивает весь канал: уже на трассе 5 м отношение сигнал/шум на ней проседало до 12–20 дБ, а регулятор поднимал мощность до 11–13 дБм из 14 возможных (08.10). Если уменьшить допустимые потери на 27 дБ, граница в свободном пространстве сокращается в 22 раза — до 44 м на MCS 7 и 220 м на MCS 0. Следовательно, дальности таблицы — возможности радиомодуля, а на плате T-HaLow в исходном исполнении связь ограничена сотнями метров, пока помехи камеры не устранены разнесением и экранированием (предложения в заключении).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для платы с камерой они сокращаются в 22 раза из-за её фона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3.9); с фоном платы с камерой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на плате с камерой её фон, на 27 дБ выше теплового, сокращает границу до 44–220 м, пока помехи не устранены.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на плате с камерой из-за её фона, на 27 дБ выше теплового, граница сокращается до 44–220 м, поэтому для бортового применения помехи камеры необходимо устранить.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