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 Экономическая часть</w:t>
      </w:r>
    </w:p>
    <w:p>
      <w:r>
        <w:t>Тема ВКР — «Разработка предложений по увеличению дальности и надежности передачи данных с борта беспилотного летательного аппарата». Цель работы — анализ эффективности технологии Wi-Fi HaLow (IEEE 802.11ah) [8] на платформе LilyGO T-HaLow (микроконтроллер ESP32-S3 и радиомодуль TX-AH-R900P) по сравнению с традиционными протоколами Wi-Fi по дальности, уровню сигнала, задержке и потерям пакетов; исследование выполняется на экспериментальной системе передачи видео по каналу «точка — точка» из двух таких плат. По характеру работ ВКР является научно-исследовательской работой (НИР). Её научно-технической продукцией (НТПр) являются экспериментально определённые характеристики канала Wi-Fi HaLow (уровень сигнала, пропускная способность, задержка и потери пакетов), их сопоставление с теоретической оценкой и с IEEE 802.11 на той же аппаратной платформе, а также рекомендации по применению технологии для связи с БПЛА. Программы, написанные в ходе работы (доработка встроенного программного обеспечения плат, программа приёма и записи видео), служат средствами проведения эксперимента и самостоятельным программным продуктом не являются.</w:t>
      </w:r>
    </w:p>
    <w:p>
      <w:r>
        <w:t>Целью экономической части является технико-экономическое обоснование НИР по методике [39]: оценка её целесообразности по индексу научно-технической прогрессивности, планирование работ, определение затрат, себестоимости, цены и рентабельности, оценка экономической эффективности и срока окупаемости. Расчёты выполнены в ценах сентября 2026 г. для работы, выполняемой в г. Москве.</w:t>
      </w:r>
    </w:p>
    <w:p>
      <w:pPr>
        <w:pStyle w:val="Heading2"/>
      </w:pPr>
      <w:r>
        <w:t>4.1 Оценка целесообразности выполнения НИР</w:t>
      </w:r>
    </w:p>
    <w:p>
      <w:r>
        <w:t>Целесообразность НИР оценивается индексом научно-технической прогрессивности, который определяется сравнением НТПр с аналогом, выбранным за базу для сравнения. Сравнение выполняется методом балльных оценок по трём признакам: научно-технический уровень (новизна), перспективность и возможность применения результатов; баллы назначаются по нормативным шкалам [39].</w:t>
      </w:r>
    </w:p>
    <w:p>
      <w:r>
        <w:t>Помимо используемой в работе платы LilyGO T-HaLow на чипсете Taixin стоимостью 3 198 руб. [28] на рынке представлены платы и оценочные комплекты на чипсетах Newracom, требующие внешнего управляющего компьютера или поставляемые по запросу [29, 30, 31], и Morse Micro. Единственный оценочный комплект производителя чипсета с открытой ценой и поставкой в Российскую Федерацию — Morse Micro MM6108-EKH05 стоимостью 39 620 руб. [32]. За базу для сравнения принят распространённый подход к оценке Wi-Fi HaLow — испытания по методике производителя на таких комплектах: измерение дальности и пропускной способности без сопоставления с теоретической оценкой и без сравнения с IEEE 802.11 в идентичных условиях.</w:t>
      </w:r>
    </w:p>
    <w:p>
      <w:r>
        <w:t>Базовый вариант воспроизводит известные испытания, его результаты привязаны к конкретному комплекту и применимы на уровне отдельного предприятия после адаптации в срок 3–5 лет: новизна — 3 балла («приближается к мировым достижениям»), перспективность — 5 («важная»), возможность применения — 3. В настоящей работе теоретические модели распространения радиоволн проверяются экспериментально с определением их параметров и границ применимости, а Wi-Fi HaLow сравнивается с IEEE 802.11 на одной аппаратной платформе (ESP32-S3 имеет собственный радиотракт 2,4 ГГц), что исключает влияние различий оборудования, — 5 баллов; более высокая оценка не принята, так как исследована статичная конфигурация «точка — точка». Результаты непосредственно используются при проектировании каналов связи с БПЛА, а натурных данных для серийных модулей Wi-Fi HaLow, появившихся в 2024–2025 гг., немного, — 7 баллов. Результаты получены на серийной платформе и применимы разработчиками систем связи БПЛА на уровне отрасли в срок до 3 лет — 8 баллов. Значимость признаков принята по [39], результаты оценки сведены в таблицу 4.1.</w:t>
      </w:r>
    </w:p>
    <w:p>
      <w:pPr>
        <w:pStyle w:val="TableCaption"/>
        <w:ind w:firstLine="0"/>
      </w:pPr>
      <w:r>
        <w:t>Таблица 4.1 – Научно-технический эффект НТПр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1757"/>
        <w:gridCol w:w="2040"/>
        <w:gridCol w:w="204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Признак научно-технического эффекта НТПр</w:t>
            </w:r>
          </w:p>
        </w:tc>
        <w:tc>
          <w:tcPr>
            <w:tcW w:type="dxa" w:w="175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Значимость признака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Уровень свойств НТПр, выбранной за базу для сравнения, баллы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Уровень свойств НТПр — результата ВКР, баллы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Научно-технический уровень (новизна) НТПр</w:t>
            </w:r>
          </w:p>
        </w:tc>
        <w:tc>
          <w:tcPr>
            <w:tcW w:type="dxa" w:w="175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0,4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Перспективность НТПр</w:t>
            </w:r>
          </w:p>
        </w:tc>
        <w:tc>
          <w:tcPr>
            <w:tcW w:type="dxa" w:w="175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0,4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7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Возможность применения результатов НТПр</w:t>
            </w:r>
          </w:p>
        </w:tc>
        <w:tc>
          <w:tcPr>
            <w:tcW w:type="dxa" w:w="1757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0,2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8</w:t>
            </w:r>
          </w:p>
        </w:tc>
      </w:tr>
    </w:tbl>
    <w:p>
      <w:pPr>
        <w:spacing w:line="240" w:lineRule="auto"/>
      </w:pPr>
    </w:p>
    <w:p>
      <w:pPr>
        <w:keepNext/>
      </w:pPr>
      <w:r>
        <w:t>Индекс научно-технической прогрессивности определяется по формуле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J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Н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НТП.Н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Н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НТП.Б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НТП.Н</m:t>
            </m:r>
          </m:sub>
        </m:sSub>
      </m:oMath>
      <w:r>
        <w:t xml:space="preserve">, </w:t>
      </w:r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НТП.Б</m:t>
            </m:r>
          </m:sub>
        </m:sSub>
      </m:oMath>
      <w:r>
        <w:t xml:space="preserve"> – обобщённые количественные показатели научно-технического уровня НТПр — результата работы и базового варианта: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Н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Q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num>
                <m:den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(4.2)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уровень i-го признака, баллы (таблица 4.1); </w:t>
      </w:r>
      <m:oMath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значимость i-го признака, доли единицы.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НТП.Н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5·0,4 + 7·0,4 + 8·0,2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 + 0,4 + 0,2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6,4;   </m:t>
        </m:r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НТП.Б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3·0,4 + 5·0,4 + 3·0,2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 + 0,4 + 0,2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3,8.</m:t>
        </m:r>
      </m:oMath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6,4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3,8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1,68.</m:t>
        </m:r>
      </m:oMath>
    </w:p>
    <w:p>
      <w:r>
        <w:t>Индекс научно-технической прогрессивности превышает единицу (1,68 &gt; 1), следовательно, выполнение НИР является целесообразным.</w:t>
      </w:r>
    </w:p>
    <w:p>
      <w:r>
        <w:t>Новизна НТПр оценивается по пяти критериям: принципиально новое — 5 баллов, новое — 3, улучшенное — 2, существующего уровня — 1, устаревшее — 0 [39] (таблица 4.2).</w:t>
      </w:r>
    </w:p>
    <w:p>
      <w:pPr>
        <w:pStyle w:val="TableCaption"/>
        <w:ind w:firstLine="0"/>
      </w:pPr>
      <w:r>
        <w:t>Таблица 4.2 – Оценка новизны НТПр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4705"/>
        <w:gridCol w:w="1700"/>
        <w:gridCol w:w="963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Критерий новизны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НТПр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Новизна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Баллы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Функциональный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система передачи видео по Wi-Fi HaLow на серийной плате с одновременной регистрацией показателей канала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новое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Технологический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сравнение Wi-Fi HaLow и IEEE 802.11 на одной аппаратной платформе, сопоставление с теоретической оценкой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улучшенное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Производственный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стоимость аппаратной платформы стенда снижена по сравнению с оценочным комплектом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улучшенное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Социальный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условия труда исследователя не меняются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Юридический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патентование результатов не предусматривается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8391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9</w:t>
            </w:r>
          </w:p>
        </w:tc>
      </w:tr>
    </w:tbl>
    <w:p>
      <w:pPr>
        <w:spacing w:line="240" w:lineRule="auto"/>
      </w:pPr>
    </w:p>
    <w:p>
      <w:pPr>
        <w:keepNext/>
      </w:pPr>
      <w:r>
        <w:t>Показатель новизны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Н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Б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К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Б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М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9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25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0,36,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(4.3)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Б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К</m:t>
            </m:r>
          </m:sub>
        </m:sSub>
      </m:oMath>
      <w:r>
        <w:t xml:space="preserve"> – сумма набранных баллов; </w:t>
      </w:r>
      <m:oMath>
        <m:sSub>
          <m:e>
            <m:r>
              <w:rPr>
                <w:rFonts w:ascii="Cambria Math" w:hAnsi="Cambria Math"/>
              </w:rPr>
              <m:t xml:space="preserve">Б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М</m:t>
            </m:r>
          </m:sub>
        </m:sSub>
      </m:oMath>
      <w:r>
        <w:t xml:space="preserve"> – максимальная сумма баллов по всем критериям (25).</w:t>
      </w:r>
    </w:p>
    <w:p>
      <w:r>
        <w:t>Результат НИР является новым по функциональному критерию и улучшенным по технологическому и производственному; период эффективности новых технологий 2–3 года [39] согласуется с принятым периодом применения результатов — до 3 лет.</w:t>
      </w:r>
    </w:p>
    <w:p>
      <w:pPr>
        <w:pStyle w:val="Heading2"/>
      </w:pPr>
      <w:r>
        <w:t>4.2 Планирование работы</w:t>
      </w:r>
    </w:p>
    <w:p>
      <w:r>
        <w:t>Состав работ определён по разделам и этапам задания на ВКР, удельный вес трудоёмкости стадий принят по заданию. Общая трудоёмкость НИР T = 800 чел.-ч определена экспертно как сумма трудоёмкостей работ исполнителей: Р — руководитель НИР, И — инженер-исследователь, П — инженер-программист, Т — техник. Во вторую стадию входят теоретическая оценка канала, разработка программы и методики экспериментов, обновление встроенного программного обеспечения радиомодуля TX-AH, разработка программного обеспечения передатчика и приёмника и отладка стенда; в третью — измерения характеристик Wi-Fi HaLow, их сравнение с IEEE 802.11 на одной аппаратной платформе и обработка результатов.</w:t>
      </w:r>
    </w:p>
    <w:p>
      <w:pPr>
        <w:keepNext/>
      </w:pPr>
      <w:r>
        <w:t>Производственный цикл j-й стадии в рабочих днях [39]: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ц.j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j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рд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q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j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(4.4)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j</m:t>
            </m:r>
          </m:sub>
        </m:sSub>
      </m:oMath>
      <w:r>
        <w:t xml:space="preserve"> – трудоёмкость стадии, чел.-ч;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рд</m:t>
            </m:r>
          </m:sub>
        </m:sSub>
      </m:oMath>
      <w:r>
        <w:t xml:space="preserve"> – продолжительность рабочего дня, 8 ч; </w:t>
      </w:r>
      <m:oMath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j</m:t>
            </m:r>
          </m:sub>
        </m:sSub>
      </m:oMath>
      <w:r>
        <w:t xml:space="preserve"> – число исполнителей, одновременно участвующих в работах стадии.</w:t>
      </w:r>
    </w:p>
    <w:p>
      <w:r>
        <w:t xml:space="preserve">На первой и второй стадиях параллельно работают инженер-исследователь и инженер-программист (q = 2). На третьей стадии полевые измерения требуют присутствия двух исполнителей у передающего и приёмного пунктов, а инженер-программист сопровождает программное обеспечение стенда и сбор данных (q = 3). На шестой стадии результаты обобщаются совместно с руководителем (q = 2), на четвёртой и пятой q = 1. Длительность стадии в календарных днях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к.j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1,4·</m:t>
        </m:r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ц.j</m:t>
            </m:r>
          </m:sub>
        </m:sSub>
      </m:oMath>
      <w:r>
        <w:t xml:space="preserve"> [39]. При начале работ 09.10.2026 и суммарной длительности 73 календарных дня НИР завершается 20.12.2026, каждая стадия — не позднее срока по заданию на ВКР (таблица 4.3).</w:t>
      </w:r>
    </w:p>
    <w:p>
      <w:pPr>
        <w:pStyle w:val="TableCaption"/>
        <w:ind w:firstLine="0"/>
      </w:pPr>
      <w:r>
        <w:t>Таблица 4.3 – Трудоёмкость и календарный план НИР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96"/>
        <w:gridCol w:w="2551"/>
        <w:gridCol w:w="623"/>
        <w:gridCol w:w="1133"/>
        <w:gridCol w:w="850"/>
        <w:gridCol w:w="396"/>
        <w:gridCol w:w="680"/>
        <w:gridCol w:w="680"/>
        <w:gridCol w:w="1190"/>
        <w:gridCol w:w="850"/>
      </w:tblGrid>
      <w:tr>
        <w:trPr>
          <w:cantSplit/>
          <w:tblHeader w:val="true"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Наименование стадии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Доля, %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Исполни-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тели, чел.-ч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Трудо-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ёмкость, чел.-ч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q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Tц, раб. дн.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Tк, кал. дн.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Сроки выполнения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Срок по заданию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Сравнительный анализ Wi-Fi HaLow с другими вариантами канала связи с БПЛА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Р — 8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И — 56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П — 56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120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7,5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09.10–19.10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22.10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Обоснование необходимости эксперимента, методика экспериментов, выбор и настройка аппаратных и программных средств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Р — 16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И — 88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П — 96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12,5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20.10–06.11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11.11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Серия экспериментов, сравнение с другими протоколами, в том числе с IEEE 802.11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И — 112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 — 104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П — 104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320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13,3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19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07.11–25.11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08.12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Экономическая часть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И — 64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64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26.11–06.12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11.12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Охрана труда и окружающей среды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И — 64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64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07.12–17.12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18.12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Основные результаты и выводы, предложения по интеграции в существующие модели БПЛА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Р — 16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И — 16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32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18.12–20.12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21.12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Итого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100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800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51,3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73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09.10–20.12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</w:r>
          </w:p>
        </w:tc>
      </w:tr>
    </w:tbl>
    <w:p>
      <w:pPr>
        <w:spacing w:line="240" w:lineRule="auto"/>
      </w:pPr>
    </w:p>
    <w:p>
      <w:pPr>
        <w:keepNext/>
      </w:pPr>
      <w:r>
        <w:t xml:space="preserve">Для наглядного представления структуры работ и их сроков построен сетевой график [39]. Перечень работ и событий приведён в таблице 4.4; продолжительность работ указана в календарных днях. Поскольку продолжительность работ НИР заранее точно не известна, для каждой работы экспертно заданы минимальная оценка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min</m:t>
            </m:r>
          </m:sub>
        </m:sSub>
      </m:oMath>
      <w:r>
        <w:t xml:space="preserve"> — при наиболее благоприятном стечении обстоятельств — и максимальная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max</m:t>
            </m:r>
          </m:sub>
        </m:sSub>
      </m:oMath>
      <w:r>
        <w:t xml:space="preserve"> — при наиболее неблагоприятном; ожидаемая продолжительность [39]: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ож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min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+ 2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max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5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(4.5)</w:t>
            </w:r>
          </w:p>
        </w:tc>
      </w:tr>
    </w:tbl>
    <w:p>
      <w:pPr>
        <w:pStyle w:val="TableCaption"/>
        <w:ind w:firstLine="0"/>
      </w:pPr>
      <w:r>
        <w:t>Таблица 4.4 – Перечень работ сетевого графика, кал. дн.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53"/>
        <w:gridCol w:w="5215"/>
        <w:gridCol w:w="963"/>
        <w:gridCol w:w="963"/>
        <w:gridCol w:w="623"/>
        <w:gridCol w:w="623"/>
        <w:gridCol w:w="623"/>
      </w:tblGrid>
      <w:tr>
        <w:trPr>
          <w:cantSplit/>
          <w:tblHeader w:val="true"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5216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Наименование работы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Код (i–j)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Исполни-</w:t>
            </w:r>
          </w:p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тели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tmin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tmax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tож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5216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Анализ задач применения БПЛА и требований к каналу связи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1–2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И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5216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Сбор открытых данных о характеристиках LoRa, IEEE 802.11 и Wi-Fi HaLow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1–3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П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5216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Сравнение Wi-Fi HaLow с другими вариантами канала связи по дальности, пропускной способности, энергопотреблению и проникающей способности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2–3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И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5216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Рассмотрение результатов сравнительного анализа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3–4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Р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0,5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1,75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5216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Обоснование необходимости эксперимента, разработка методики экспериментов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4–5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И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8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5216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Обновление встроенного программного обеспечения радиомодулей, разработка программ передачи видео и регистрации показателей канала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4–6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П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14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5216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Утверждение методики экспериментов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5–7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Р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0,5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1,75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5216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Сборка и отладка экспериментального стенда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6–7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И, П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5216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Измерение показателей канала Wi-Fi HaLow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7–8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И, Т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9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5216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Подготовка программ обработки результатов измерений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7–9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П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5216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Измерение тех же показателей для IEEE 802.11 на той же аппаратной платформе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8–9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И, Т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5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5216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Обработка результатов, сравнение с другими протоколами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9–10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И, П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5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5216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Экономическая часть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10–11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И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11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5216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Охрана труда и окружающей среды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11–12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И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11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216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Основные результаты и выводы, предложения по интеграции в существующие модели БПЛА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12–13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И, Р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4,5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</w:t>
            </w:r>
          </w:p>
        </w:tc>
      </w:tr>
    </w:tbl>
    <w:p>
      <w:pPr>
        <w:spacing w:line="240" w:lineRule="auto"/>
      </w:pPr>
    </w:p>
    <w:p>
      <w:r>
        <w:t>Сетевой график приведён на рисунке 4.1.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4.1 – Сетевой график НИР (над стрелкой — ожидаемая продолжительность работы, кал. дн.; под стрелкой — исполнители)</w:t>
      </w:r>
    </w:p>
    <w:p>
      <w:r>
        <w:t>Критический путь проходит через события 1–2–3–4–6–7–8–9–10–11–12–13; его продолжительность 73 кал. дн. совпадает с длительностью НИР по календарному плану (таблица 4.3) и укладывается в срок сдачи работы по заданию. Работы 1–3, 4–5, 5–7, 7–9 имеют резерв времени от 4 до 9 дн. и выполняются параллельно с работами критического пути.</w:t>
      </w:r>
    </w:p>
    <w:p>
      <w:pPr>
        <w:pStyle w:val="Heading2"/>
      </w:pPr>
      <w:r>
        <w:t>4.3 Определение затрат, себестоимости и цены НИР</w:t>
      </w:r>
    </w:p>
    <w:p>
      <w:r>
        <w:t>Основной статьёй затрат НИР является оплата труда. Месячные оклады приняты по медианам предложений работодателей г. Москвы на портале hh.ru [40]; суммы «на руки» пересчитаны в начисленные делением на 0,87 [41]. Оклад инженера-исследователя и инженера-программиста составляет 102 900 руб. (медиана 11 предложений для инженеров без опыта работы), техника — 90 000 руб. (4 предложения для техников без опыта), руководителя НИР — 175 000 руб. (9 предложений для специалистов с опытом 3–6 лет). Часовая ставка равна окладу, делённому на среднемесячный фонд рабочего времени 1 972/12 = 164,33 ч [42]: 626, 548 и 1 065 руб./ч соответственно.</w:t>
      </w:r>
    </w:p>
    <w:p>
      <w:pPr>
        <w:keepNext/>
      </w:pPr>
      <w:r>
        <w:t>Заработная плата по стадиям работ [39]: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ЗП.j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bar>
                <m:barPr>
                  <m:pos m:val="top"/>
                </m:barPr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j</m:t>
                      </m:r>
                    </m:sub>
                  </m:sSub>
                </m:e>
              </m:bar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(4.6)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j</m:t>
            </m:r>
          </m:sub>
        </m:sSub>
      </m:oMath>
      <w:r>
        <w:t xml:space="preserve"> – трудоёмкость j-й стадии, чел.-дн.; </w:t>
      </w:r>
      <m:oMath>
        <m:bar>
          <m:barPr>
            <m:pos m:val="top"/>
          </m:barPr>
          <m:e>
            <m:sSub>
              <m:e>
                <m:r>
                  <w:rPr>
                    <w:rFonts w:ascii="Cambria Math" w:hAnsi="Cambria Math"/>
                  </w:rPr>
                  <m:t xml:space="preserve">τ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j</m:t>
                </m:r>
              </m:sub>
            </m:sSub>
          </m:e>
        </m:bar>
      </m:oMath>
      <w:r>
        <w:t xml:space="preserve"> – средняя дневная ставка стадии, руб., средневзвешенная по трудоёмкости исполнителей (таблица 4.3).</w:t>
      </w:r>
    </w:p>
    <w:p>
      <w:r>
        <w:t>Расчёт приведён в таблице 4.5.</w:t>
      </w:r>
    </w:p>
    <w:p>
      <w:pPr>
        <w:pStyle w:val="TableCaption"/>
        <w:ind w:firstLine="0"/>
      </w:pPr>
      <w:r>
        <w:t>Таблица 4.5 – Расчёт заработной платы персонала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793"/>
        <w:gridCol w:w="1247"/>
        <w:gridCol w:w="2494"/>
        <w:gridCol w:w="1020"/>
        <w:gridCol w:w="1247"/>
        <w:gridCol w:w="1360"/>
        <w:gridCol w:w="1190"/>
      </w:tblGrid>
      <w:tr>
        <w:trPr>
          <w:cantSplit/>
          <w:tblHeader w:val="true"/>
        </w:trPr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№ стадии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Трудо-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ёмкость стадии, чел.-дн.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Должность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Числен-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ность, чел.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Дневная ставка, руб.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Средняя дневная ставка, руб.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Заработ-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ная плата, руб.</w:t>
            </w:r>
          </w:p>
        </w:tc>
      </w:tr>
      <w:tr>
        <w:trPr>
          <w:cantSplit/>
        </w:trPr>
        <w:tc>
          <w:tcPr>
            <w:tcW w:type="dxa" w:w="79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Руководитель НИР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8 520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5 242,1</w:t>
            </w:r>
          </w:p>
        </w:tc>
        <w:tc>
          <w:tcPr>
            <w:tcW w:type="dxa" w:w="1191"/>
            <w:vMerge w:val="restart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78 632</w:t>
            </w:r>
          </w:p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Инженер-программист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79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24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Руководитель НИР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8 520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5 289,0</w:t>
            </w:r>
          </w:p>
        </w:tc>
        <w:tc>
          <w:tcPr>
            <w:tcW w:type="dxa" w:w="1191"/>
            <w:vMerge w:val="restart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132 224</w:t>
            </w:r>
          </w:p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Инженер-программист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79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24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4 805,2</w:t>
            </w:r>
          </w:p>
        </w:tc>
        <w:tc>
          <w:tcPr>
            <w:tcW w:type="dxa" w:w="1191"/>
            <w:vMerge w:val="restart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192 208</w:t>
            </w:r>
          </w:p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Техник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4 384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Инженер-программист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40 064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40 064</w:t>
            </w:r>
          </w:p>
        </w:tc>
      </w:tr>
      <w:tr>
        <w:trPr>
          <w:cantSplit/>
        </w:trPr>
        <w:tc>
          <w:tcPr>
            <w:tcW w:type="dxa" w:w="79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24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Руководитель НИР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8 520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6 764,0</w:t>
            </w:r>
          </w:p>
        </w:tc>
        <w:tc>
          <w:tcPr>
            <w:tcW w:type="dxa" w:w="1191"/>
            <w:vMerge w:val="restart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27 056</w:t>
            </w:r>
          </w:p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8163"/>
            <w:gridSpan w:val="6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Итого по тарифным ставкам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  <w:t>510 248</w:t>
            </w:r>
          </w:p>
        </w:tc>
      </w:tr>
    </w:tbl>
    <w:p>
      <w:pPr>
        <w:spacing w:line="240" w:lineRule="auto"/>
      </w:pPr>
    </w:p>
    <w:p>
      <w:pPr>
        <w:keepNext/>
      </w:pPr>
      <w:r>
        <w:t>С учётом премиальных выплат 20 % [39] основная заработная плата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ЗП.осн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d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 + 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пр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nary>
                <m:naryPr>
                  <m:chr m:val="∑"/>
                  <m:limLoc m:val="undOvr"/>
                  <m:supHide m:val="1"/>
                </m:naryPr>
                <m:sub>
                  <m:r>
                    <w:rPr>
                      <w:rFonts w:ascii="Cambria Math" w:hAnsi="Cambria Math"/>
                    </w:rPr>
                    <m:t xml:space="preserve">j</m:t>
                  </m:r>
                </m:sub>
                <m:sup/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ЗП.j</m:t>
                      </m:r>
                    </m:sub>
                  </m:sSub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 xml:space="preserve"> = 1,2·510 248 = 612 298 руб.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(4.7)</w:t>
            </w:r>
          </w:p>
        </w:tc>
      </w:tr>
    </w:tbl>
    <w:p>
      <w:pPr>
        <w:keepNext/>
      </w:pPr>
      <w:r>
        <w:t>Дополнительная заработная плата — оплата ежегодного отпуска 28 календарных (20 рабочих) дней при 247 рабочих днях в 2026 г. [42]: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доп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20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247 − 20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0,088;   </m:t>
        </m:r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ЗП.доп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0,088·612 298 = 53 882 руб.</m:t>
        </m:r>
      </m:oMath>
    </w:p>
    <w:p>
      <w:r>
        <w:t>Фонд оплаты труда (ФОТ) составляет 612 298 + 53 882 = 666 180 руб. Отчисления на социальные нужды включают страховые взносы по единому тарифу 30 % (выплаты исполнителям не превышают предельной базы 2 979 000 руб. на 2026 г. [41, 43]) и взносы на страхование от несчастных случаев 0,2 % (I класс профессионального риска): 0,302·666 180 = 201 186 руб.</w:t>
      </w:r>
    </w:p>
    <w:p>
      <w:r>
        <w:t>Материальные затраты включают покупные комплектующие изделия для экспериментального стенда, канцелярские товары и электроэнергию. Две платы LilyGO T-HaLow образуют канал «точка — точка»: передающая плата с камерой OV5640 работает в режиме точки доступа, приёмная — в режиме станции. Цена платы 37,98 долл. США [28] по курсу Банка России 84,1975 руб./долл. на 20.09.2026 [44] составляет 3 198 руб. Микросхемы флеш-памяти и программатор нужны для резервного копирования и восстановления встроенного программного обеспечения радиомодуля TX-AH [45, 46], аккумуляторы — для автономного питания плат. Цены остальных позиций — средние розничные на сентябрь 2026 г. Покупные комплектующие: отладочная плата LilyGO T-HaLow V1.0 — 2 шт. по 3 198 руб.; модуль камеры OV5640, 24 pin — 2 шт. по 1 100 руб.; микросхема флеш-памяти W25Q32JVSSIQ — 2 шт. по 100 руб.; программатор CH341A с зажимом SOIC-8 — 1 шт. по 714 руб.; кабель USB Type-C с передачей данных, 1 м — 2 шт. по 350 руб.; аккумулятор Li-Ion 18650, 3000 мА·ч — 4 шт. по 450 руб.; зарядное устройство для аккумуляторов 18650 — 1 шт. по 900 руб.; итого 12 910 руб. Канцелярские товары (бумага, картриджи, принадлежности) на печать около 2 500 листов — 11 650 руб.</w:t>
      </w:r>
    </w:p>
    <w:p>
      <w:r>
        <w:t xml:space="preserve">Затраты на электроэнергию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эл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 xml:space="preserve">P</m:t>
        </m:r>
        <m:r>
          <m:rPr>
            <m:sty m:val="p"/>
          </m:rPr>
          <w:rPr>
            <w:rFonts w:ascii="Cambria Math" w:hAnsi="Cambria Math"/>
          </w:rPr>
          <m:t xml:space="preserve">·</m:t>
        </m:r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м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·</m:t>
        </m:r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эл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0,15·696·8,90 = 929</m:t>
        </m:r>
      </m:oMath>
      <w:r>
        <w:t xml:space="preserve"> руб., где P – мощность ПЭВМ с периферией и стендом, кВт;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м</m:t>
            </m:r>
          </m:sub>
        </m:sSub>
      </m:oMath>
      <w:r>
        <w:t xml:space="preserve"> – время работы ПЭВМ, равное трудоёмкости всех исполнителей, кроме техника (800 − 104 = 696 ч); </w:t>
      </w:r>
      <m:oMath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эл</m:t>
            </m:r>
          </m:sub>
        </m:sSub>
      </m:oMath>
      <w:r>
        <w:t xml:space="preserve"> – тариф в г. Москве с 01.10.2026, руб./(кВт·ч) [47]. Материальные затраты составляют 12 910 + 11 650 + 929 = 25 489 руб.</w:t>
      </w:r>
    </w:p>
    <w:p>
      <w:pPr>
        <w:keepNext/>
      </w:pPr>
      <w:r>
        <w:t xml:space="preserve">Амортизация ПЭВМ (балансовая стоимость </w:t>
      </w:r>
      <m:oMath>
        <m:sSub>
          <m:e>
            <m:r>
              <w:rPr>
                <w:rFonts w:ascii="Cambria Math" w:hAnsi="Cambria Math"/>
              </w:rPr>
              <m:t xml:space="preserve">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ПЭВМ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85 000</m:t>
        </m:r>
      </m:oMath>
      <w:r>
        <w:t xml:space="preserve"> руб., срок полезного использования 3 года — вторая амортизационная группа [48]) начисляется линейным способом пропорционально времени работы: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А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С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ПЭВМ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·</m:t>
            </m:r>
            <m:sSub>
              <m:e>
                <m:r>
                  <w:rPr>
                    <w:rFonts w:ascii="Cambria Math" w:hAnsi="Cambria Math"/>
                  </w:rPr>
                  <m:t xml:space="preserve">t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м</m:t>
                </m:r>
              </m:sub>
            </m:sSub>
          </m:num>
          <m:den>
            <m:sSub>
              <m:e>
                <m:r>
                  <w:rPr>
                    <w:rFonts w:ascii="Cambria Math" w:hAnsi="Cambria Math"/>
                  </w:rPr>
                  <m:t xml:space="preserve">Т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сл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·</m:t>
            </m:r>
            <m:sSub>
              <m:e>
                <m:r>
                  <w:rPr>
                    <w:rFonts w:ascii="Cambria Math" w:hAnsi="Cambria Math"/>
                  </w:rPr>
                  <m:t xml:space="preserve">F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год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85 000·696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3·1 972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10 000 руб.</m:t>
        </m:r>
      </m:oMath>
    </w:p>
    <w:p>
      <w:r>
        <w:t>Накладные расходы приняты в размере 100 % от ФОТ, поскольку работа выполняется на базе кафедры; в типовой структуре затрат на НИР накладные расходы и заработная плата имеют одинаковый удельный вес — 34 % [39]. Прочие расходы (поездки на полевую площадку, связь, научно-техническая информация) — 10 % от ФОТ.</w:t>
      </w:r>
    </w:p>
    <w:p>
      <w:r>
        <w:t>Калькуляция себестоимости НИР приведена в таблице 4.6.</w:t>
      </w:r>
    </w:p>
    <w:p>
      <w:pPr>
        <w:pStyle w:val="TableCaption"/>
        <w:ind w:firstLine="0"/>
      </w:pPr>
      <w:r>
        <w:t>Таблица 4.6 – Калькуляция себестоимости НИР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850"/>
        <w:gridCol w:w="5102"/>
        <w:gridCol w:w="1984"/>
        <w:gridCol w:w="1417"/>
      </w:tblGrid>
      <w:tr>
        <w:trPr>
          <w:cantSplit/>
          <w:tblHeader w:val="true"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№ п/п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Статья калькуляции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Затраты, руб.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Канцелярские товары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11 650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0,7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Покупные комплектующие изделия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12 910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0,8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Электроэнергия на технологические цели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929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0,1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Основная заработная плата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612 298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37,4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Дополнительная заработная плата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53 882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3,3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Отчисления на социальные нужды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201 186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12,3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Амортизация оборудования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10 000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0,6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Накладные расходы (100 % от ФОТ)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666 180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40,7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Прочие расходы (10 % от ФОТ)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66 618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4,1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4"/>
              </w:rPr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4"/>
              </w:rPr>
              <w:t>Итого себестоимость НИР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4"/>
              </w:rPr>
              <w:t>1 635 653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4"/>
              </w:rPr>
              <w:t>100,0</w:t>
            </w:r>
          </w:p>
        </w:tc>
      </w:tr>
    </w:tbl>
    <w:p>
      <w:pPr>
        <w:spacing w:line="240" w:lineRule="auto"/>
      </w:pPr>
    </w:p>
    <w:p>
      <w:r>
        <w:t>Затраты, связанные с оплатой труда (заработная плата, отчисления, накладные и прочие расходы), составляют 97,8 % себестоимости, что характерно для НИР; материальные затраты — лишь 1,6 % благодаря недорогим серийным платам.</w:t>
      </w:r>
    </w:p>
    <w:p>
      <w:pPr>
        <w:keepNext/>
      </w:pPr>
      <w:r>
        <w:t>Цена НИР определяется исходя из обеспечения безубыточности деятельности организации [39]: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Ц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ЗП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ЗП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(4.8)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</m:t>
            </m:r>
          </m:sub>
        </m:sSub>
      </m:oMath>
      <w:r>
        <w:t xml:space="preserve"> – себестоимость НИР, руб.;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</m:oMath>
      <w:r>
        <w:t xml:space="preserve"> – ФОТ, руб.; </w:t>
      </w:r>
      <m:oMath>
        <m:sSub>
          <m:e>
            <m:r>
              <w:rPr>
                <w:rFonts w:ascii="Cambria Math" w:hAnsi="Cambria Math"/>
              </w:rPr>
              <m:t xml:space="preserve"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</m:oMath>
      <w:r>
        <w:t xml:space="preserve"> – уровень рентабельности по отношению к оплате труда, 200–400 % [39].</w:t>
      </w:r>
    </w:p>
    <w:p>
      <w:pPr>
        <w:keepNext/>
      </w:pPr>
      <w:r>
        <w:t xml:space="preserve">Принято минимальное значение </w:t>
      </w:r>
      <m:oMath>
        <m:sSub>
          <m:e>
            <m:r>
              <w:rPr>
                <w:rFonts w:ascii="Cambria Math" w:hAnsi="Cambria Math"/>
              </w:rPr>
              <m:t xml:space="preserve"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200 %</m:t>
        </m:r>
      </m:oMath>
      <w:r>
        <w:t>, поскольку работа носит поисковый характер, а её результат не является серийным коммерческим продуктом: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1 635 653 + 666 180·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200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100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2 968 013 руб.</m:t>
        </m:r>
      </m:oMath>
    </w:p>
    <w:p>
      <w:pPr>
        <w:keepNext/>
      </w:pPr>
      <w:r>
        <w:t>Прибыль П = 2 968 013 − 1 635 653 = 1 332 360 руб. Рентабельность НИР по себестоимости: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Р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П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·100 %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1 332 360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1 635 653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·100 % = 81,5 %.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(4.9)</w:t>
            </w:r>
          </w:p>
        </w:tc>
      </w:tr>
    </w:tbl>
    <w:p>
      <w:r>
        <w:t>Рентабельность продаж составляет 44,9 %. Цена НИР покрывает все затраты на её выполнение и обеспечивает безубыточность деятельности организации.</w:t>
      </w:r>
    </w:p>
    <w:p>
      <w:pPr>
        <w:pStyle w:val="Heading2"/>
      </w:pPr>
      <w:r>
        <w:t>4.4 Определение и оценка основных показателей экономической эффективности</w:t>
      </w:r>
    </w:p>
    <w:p>
      <w:pPr>
        <w:keepNext/>
      </w:pPr>
      <w:r>
        <w:t xml:space="preserve">Показателями экономической эффективности являются экономический эффект Э, уровень экономической эффективности Е и срок окупаемости </w:t>
      </w:r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ок</m:t>
            </m:r>
          </m:sub>
        </m:sSub>
      </m:oMath>
      <w:r>
        <w:t xml:space="preserve"> [39]. Результаты НИР используются при проектировании каналов связи с БПЛА, то есть НИР связана с повышением качества проектирования, и годовой экономический эффект определяется по формуле [39]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Э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Б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J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− 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Т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(4.10)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Б</m:t>
            </m:r>
          </m:sub>
        </m:sSub>
      </m:oMath>
      <w:r>
        <w:t xml:space="preserve">,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затраты на выполнение темы в базовом и новом вариантах, руб.; </w:t>
      </w:r>
      <m:oMath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</m:t>
            </m:r>
          </m:sub>
        </m:sSub>
      </m:oMath>
      <w:r>
        <w:t xml:space="preserve"> – индекс научно-технической прогрессивности по формуле (4.1); </w:t>
      </w:r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продолжительность разработки: 73/365 = 0,200 года.</w:t>
      </w:r>
    </w:p>
    <w:p>
      <w:pPr>
        <w:keepNext/>
      </w:pPr>
      <w:r>
        <w:t xml:space="preserve">Затраты нового варианта равны себестоимости НИР: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1 635 653</m:t>
        </m:r>
      </m:oMath>
      <w:r>
        <w:t xml:space="preserve"> руб. Базовый вариант предполагает тот же состав работ на оценочных комплектах MM6108-EKH05 вместо плат LilyGO T-HaLow; статьи, рассчитываемые от ФОТ, не меняются, а материальные затраты возрастают на </w:t>
      </w:r>
      <m:oMath>
        <m:r>
          <w:rPr>
            <w:rFonts w:ascii="Cambria Math" w:hAnsi="Cambria Math"/>
          </w:rPr>
          <m:t xml:space="preserve">ΔЗ</m:t>
        </m:r>
        <m:r>
          <m:rPr>
            <m:sty m:val="p"/>
          </m:rPr>
          <w:rPr>
            <w:rFonts w:ascii="Cambria Math" w:hAnsi="Cambria Math"/>
          </w:rPr>
          <m:t xml:space="preserve"> = 2·39 620 − 2·3 198 = 72 844</m:t>
        </m:r>
      </m:oMath>
      <w:r>
        <w:t xml:space="preserve"> руб., откуда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Б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1 708 497</m:t>
        </m:r>
      </m:oMath>
      <w:r>
        <w:t xml:space="preserve"> руб. Срок поставки комплектов 7–8 недель [32] в денежном выражении не учитывается, что идёт в запас оценки. Экономический эффект: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Э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1 708 497·1,68 − 1 635 653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0,200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6 173 110 руб./год.</m:t>
        </m:r>
      </m:oMath>
    </w:p>
    <w:p>
      <w:pPr>
        <w:keepNext/>
      </w:pPr>
      <w:r>
        <w:t>Уровень экономической эффективности затрат на НИР [39]: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Е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Э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α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Ц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НИР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6 173 110·1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2 968 013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2,08,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(4.11)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α</m:t>
        </m:r>
      </m:oMath>
      <w:r>
        <w:t xml:space="preserve"> – доля эффекта, приходящаяся на разработку; НИР выполняется одной организацией без соисполнителей, поэтому </w:t>
      </w:r>
      <m:oMath>
        <m:r>
          <w:rPr>
            <w:rFonts w:ascii="Cambria Math" w:hAnsi="Cambria Math"/>
          </w:rPr>
          <m:t xml:space="preserve">α</m:t>
        </m:r>
        <m:r>
          <m:rPr>
            <m:sty m:val="p"/>
          </m:rPr>
          <w:rPr>
            <w:rFonts w:ascii="Cambria Math" w:hAnsi="Cambria Math"/>
          </w:rPr>
          <m:t xml:space="preserve"> = 1</m:t>
        </m:r>
      </m:oMath>
      <w:r>
        <w:t xml:space="preserve">; </w:t>
      </w:r>
      <m:oMath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НИР</m:t>
            </m:r>
          </m:sub>
        </m:sSub>
      </m:oMath>
      <w:r>
        <w:t xml:space="preserve"> – цена НИР, руб.</w:t>
      </w:r>
    </w:p>
    <w:p>
      <w:pPr>
        <w:keepNext/>
      </w:pPr>
      <w:r>
        <w:t>Срок окупаемости вложений в разработку: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Т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ок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Е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2,08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0,48 года.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(4.12)</w:t>
            </w:r>
          </w:p>
        </w:tc>
      </w:tr>
    </w:tbl>
    <w:p>
      <w:r>
        <w:t xml:space="preserve">Срок окупаемости составляет около 6 месяцев. Для наукоёмкой продукции уровень экономической эффективности должен быть не менее 0,5, то есть вложения должны окупаться в пределах двух лет [39]; полученные значения Е = 2,08 и </w:t>
      </w:r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ок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0,48</m:t>
        </m:r>
      </m:oMath>
      <w:r>
        <w:t xml:space="preserve"> года этому требованию удовлетворяют.</w:t>
      </w:r>
    </w:p>
    <w:p>
      <w:pPr>
        <w:pStyle w:val="Heading2"/>
      </w:pPr>
      <w:r>
        <w:t>4.5 Выводы</w:t>
      </w:r>
    </w:p>
    <w:p>
      <w:r>
        <w:t>Технико-экономическое обоснование НИР показало следующее:</w:t>
      </w:r>
    </w:p>
    <w:p>
      <w:r>
        <w:t xml:space="preserve">– </w:t>
      </w:r>
      <w:r>
        <w:t>индекс научно-технической прогрессивности 1,68 &gt; 1, показатель новизны 0,36: выполнение НИР целесообразно;</w:t>
      </w:r>
    </w:p>
    <w:p>
      <w:r>
        <w:t xml:space="preserve">– </w:t>
      </w:r>
      <w:r>
        <w:t>трудоёмкость НИР 800 чел.-ч, продолжительность 73 календарных дня (09.10–20.12.2026), сроки задания на ВКР выполняются;</w:t>
      </w:r>
    </w:p>
    <w:p>
      <w:r>
        <w:t xml:space="preserve">– </w:t>
      </w:r>
      <w:r>
        <w:t>себестоимость НИР 1 635 653 руб., цена 2 968 013 руб., рентабельность по себестоимости 81,5 %;</w:t>
      </w:r>
    </w:p>
    <w:p>
      <w:r>
        <w:t xml:space="preserve">– </w:t>
      </w:r>
      <w:r>
        <w:t>годовой экономический эффект 6 173 110 руб., уровень экономической эффективности 2,08 при нормативе не менее 0,5, срок окупаемости 0,48 года (около 6 месяцев).</w:t>
      </w:r>
    </w:p>
    <w:p>
      <w:r>
        <w:t>Применение серийных плат LilyGO T-HaLow вместо оценочных комплектов производителя чипсета снижает стоимость аппаратной платформы в 12,4 раза. Разработка является научно-технически прогрессивной и экономически целесообразной.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