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[42]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прогрессивности, который определяется балльным сравнением НТПр с уже существующим решением — базой для сравнения [42].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[42].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нелицензируемых диапазонов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[42]: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 Период эффективности новых технологий 2–3 года [42] согласуется с принятым сроком применения результатов — до 3 лет.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[42]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70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70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88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 При ожидаемой продолжительности работ НИР завершается 07.12.2026.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[42].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[43]: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[44].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52 440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455 440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+ 52 440 = 455 440 руб.</m:t>
        </m:r>
      </m:oMath>
    </w:p>
    <w:p>
      <w:pPr>
        <w:keepNext/>
      </w:pPr>
      <w:r>
        <w:t>Помимо основных выплат исполнителям предусмотрена премия 20 % [42]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1,2·455 440 = 546 528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[45]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0,302·546 528 = 165 051 руб.</m:t>
        </m:r>
      </m:oMath>
    </w:p>
    <w:p>
      <w:pPr>
        <w:keepNext/>
      </w:pPr>
      <w:r>
        <w:t xml:space="preserve">Материальные, накладные и прочие расходы на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r>
        <w:t>Поэлементная укрупнённая структура затрат на НИР приведена в таблице 4.6.</w:t>
      </w:r>
    </w:p>
    <w:p>
      <w:pPr>
        <w:pStyle w:val="TableCaption"/>
        <w:ind w:firstLine="0"/>
      </w:pPr>
      <w:r>
        <w:t>Таблица 4.6 – Поэлементная укрупнённая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086"/>
        <w:gridCol w:w="2267"/>
      </w:tblGrid>
      <w:tr>
        <w:trPr>
          <w:cantSplit/>
          <w:tblHeader w:val="true"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38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</w:t>
            </w:r>
          </w:p>
        </w:tc>
      </w:tr>
    </w:tbl>
    <w:p>
      <w:pPr>
        <w:spacing w:line="240" w:lineRule="auto"/>
      </w:pPr>
    </w:p>
    <w:p>
      <w:r>
        <w:t>К материалам, полуфабрикатам и покупным комплектующим изделиям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К накладным расходам — оплата электроэнергии, аренды и отопления помещения, заработной платы обслуживающего персонала, содержание вычислительной техники кафедры. К прочим расходам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>
      <w:r>
        <w:t>В типовой структуре затрат на НИР удельный вес заработной платы составляет 34 % [42]. В настоящей работе он принят выше — 40 %: специального оборудования, работ сторонних организаций и командировок в НИР нет, и основную часть затрат составляет труд исполнителей. Доля отчислений на социальные нужды (12 %) соответствует тарифу 30,2 % от заработной платы. Стоимость материалов и покупных комплектующих изделий проверена прямым счётом (таблица 4.7): цена платы LilyGO T-HaLow 37,98 долл. США [28] по курсу 84,1975 руб./долл. на 20.09.2026 [46] составляет 3 198 руб., а всего материалы и комплектующие стоят 24 560 руб., или 1,8 % себестоимости, что не превышает принятой доли 5 %.</w:t>
      </w:r>
    </w:p>
    <w:p>
      <w:pPr>
        <w:pStyle w:val="TableCaption"/>
        <w:ind w:firstLine="0"/>
      </w:pPr>
      <w:r>
        <w:t>Таблица 4.7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Из таблицы 4.6 следует, что фонд заработной платы составляет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 xml:space="preserve"> себестоимости НИР; соответственно, по формуле (4.6) сама себестоимость: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546 528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1 366 320 руб.</m:t>
        </m:r>
      </m:oMath>
    </w:p>
    <w:p>
      <w:pPr>
        <w:keepNext/>
      </w:pPr>
      <w:r>
        <w:t>Цена НИР определяется исходя из обеспечения безубыточности организации, которая её выполняет [42].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[42].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и на коротких трассах и требуют проверки на трассах реального применения,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1 366 320 + 546 528·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3 005 904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[42].</w:t>
      </w:r>
    </w:p>
    <w:p>
      <w:pPr>
        <w:keepNext/>
      </w:pPr>
      <w:r>
        <w:t>Результатом НИР является не изделие, которое продаётся потребителю, а знания — измеренные характеристики канала Wi-Fi HaLow и рекомендации по его применению. Выручки они сами по себе не приносят; их ценность проявляется у предприятия, которое их применяет: оно решает ту же задачу с меньшими затратами. Поэтому экономический эффект НИР определяется как экономия затрат у потребителя её результатов [42].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С ростом расстояния уровень сигнала падает, и канал переходит на всё более низкую скорость модуляции, пока не останется наименьшая — 1 Мбит/с у Wi-Fi 2,4 ГГц (802.11b) и 0,65 Мбит/с у Wi-Fi HaLow (канал 2 МГц). Скорость модуляции — это скорость передачи в эфире вместе со служебными заголовками и повторами; полезная скорость, то есть объём видеоданных, доходящих до приёмника, всегда ниже неё. Видео пониженного разрешения нужно немного: в экспериментах видео 240 × 176 точек передавалось при полезной скорости 120–180 кбит/с (подразделы 3.2 и 3.3), что в 3,5–5 раз меньше даже наименьшей скорости модуляции Wi-Fi HaLow. Следовательно, технологии различаются не скоростью на краю пролёта, а расстоянием, на котором эта наименьшая скорость ещё сохраняется; дальше связи нет совсем. По расчёту бюджета канала (подраздел 3.7) в свободном пространстве с запасом 10 дБ при нормах мощности Российской Федерации это расстояние составляет 2,6 км для Wi-Fi 2,4 ГГц и 4,9 км для Wi-Fi HaLow (для канала 2 МГц — по оценочной чувствительности). Несмотря на меньшую разрешённую мощность, Wi-Fi HaLow уходит дальше: на частоте ниже 1 ГГц сигнал затухает меньше, а чувствительность приёмника на наименьшей скорости выше. На расстояниях от 2,6 до 4,9 км видео передаёт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4.7).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[47].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⌈6 000/2,6⌉ = 2 308;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⌈6 000/4,9⌉ = 1 225.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2 308·7 296 = 16 839 168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1 225·7 296 = 8 937 600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16 839 168·1,33 - 8 937 600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13 458 493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[42]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 + 8 937 600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0,13.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13 458 493·0,13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3 005 904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0,58,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0,58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1,72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21 месяцев. Для наукоёмкой продукции уровень эффективности должен быть не менее 0,5, то есть вложения должны окупаться в пределах двух лет [42]; полученное значение 0,58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